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20" w:rsidRDefault="00085520" w:rsidP="0090174F">
      <w:pPr>
        <w:tabs>
          <w:tab w:val="clear" w:pos="1066"/>
        </w:tabs>
        <w:autoSpaceDE w:val="0"/>
        <w:autoSpaceDN w:val="0"/>
        <w:adjustRightInd w:val="0"/>
        <w:rPr>
          <w:rFonts w:cs="Arial"/>
          <w:b/>
          <w:bCs/>
          <w:kern w:val="32"/>
          <w:sz w:val="44"/>
          <w:szCs w:val="32"/>
        </w:rPr>
      </w:pPr>
      <w:r>
        <w:rPr>
          <w:rFonts w:cs="Arial"/>
          <w:b/>
          <w:bCs/>
          <w:kern w:val="32"/>
          <w:sz w:val="44"/>
          <w:szCs w:val="32"/>
        </w:rPr>
        <w:t>Boston Consulting Group</w:t>
      </w:r>
    </w:p>
    <w:p w:rsidR="0090174F" w:rsidRDefault="0090174F" w:rsidP="0090174F">
      <w:pPr>
        <w:tabs>
          <w:tab w:val="clear" w:pos="1066"/>
        </w:tabs>
        <w:autoSpaceDE w:val="0"/>
        <w:autoSpaceDN w:val="0"/>
        <w:adjustRightInd w:val="0"/>
        <w:rPr>
          <w:rFonts w:cs="Arial"/>
          <w:b/>
          <w:bCs/>
          <w:kern w:val="32"/>
          <w:sz w:val="44"/>
          <w:szCs w:val="32"/>
        </w:rPr>
      </w:pPr>
      <w:r w:rsidRPr="0090174F">
        <w:rPr>
          <w:rFonts w:cs="Arial"/>
          <w:b/>
          <w:bCs/>
          <w:kern w:val="32"/>
          <w:sz w:val="44"/>
          <w:szCs w:val="32"/>
        </w:rPr>
        <w:t>myGov User Audit:</w:t>
      </w:r>
      <w:r w:rsidR="00085520">
        <w:rPr>
          <w:rFonts w:cs="Arial"/>
          <w:b/>
          <w:bCs/>
          <w:kern w:val="32"/>
          <w:sz w:val="44"/>
          <w:szCs w:val="32"/>
        </w:rPr>
        <w:t xml:space="preserve"> Summary Research R</w:t>
      </w:r>
      <w:r>
        <w:rPr>
          <w:rFonts w:cs="Arial"/>
          <w:b/>
          <w:bCs/>
          <w:kern w:val="32"/>
          <w:sz w:val="44"/>
          <w:szCs w:val="32"/>
        </w:rPr>
        <w:t>eport</w:t>
      </w:r>
    </w:p>
    <w:p w:rsidR="0090174F" w:rsidRPr="0090174F" w:rsidRDefault="0090174F" w:rsidP="0090174F">
      <w:pPr>
        <w:tabs>
          <w:tab w:val="clear" w:pos="1066"/>
        </w:tabs>
        <w:autoSpaceDE w:val="0"/>
        <w:autoSpaceDN w:val="0"/>
        <w:adjustRightInd w:val="0"/>
        <w:rPr>
          <w:rFonts w:cs="Arial"/>
          <w:b/>
          <w:bCs/>
          <w:kern w:val="32"/>
          <w:sz w:val="44"/>
          <w:szCs w:val="32"/>
        </w:rPr>
      </w:pPr>
      <w:r>
        <w:rPr>
          <w:rFonts w:cs="Arial"/>
          <w:b/>
          <w:bCs/>
          <w:kern w:val="32"/>
          <w:sz w:val="44"/>
          <w:szCs w:val="32"/>
        </w:rPr>
        <w:t>11 November 2022</w:t>
      </w:r>
    </w:p>
    <w:p w:rsidR="0090174F" w:rsidRPr="00194BAF" w:rsidRDefault="0090174F" w:rsidP="00194BAF">
      <w:pPr>
        <w:pStyle w:val="Heading2"/>
      </w:pPr>
      <w:r w:rsidRPr="00194BAF">
        <w:t>Contents</w:t>
      </w:r>
    </w:p>
    <w:p w:rsidR="0090174F" w:rsidRDefault="0090174F" w:rsidP="0090174F">
      <w:pPr>
        <w:pStyle w:val="ListParagraph"/>
        <w:numPr>
          <w:ilvl w:val="0"/>
          <w:numId w:val="13"/>
        </w:numPr>
      </w:pPr>
      <w:r>
        <w:t>Introduction</w:t>
      </w:r>
      <w:r>
        <w:tab/>
        <w:t>03</w:t>
      </w:r>
    </w:p>
    <w:p w:rsidR="0090174F" w:rsidRDefault="0090174F" w:rsidP="0090174F">
      <w:pPr>
        <w:pStyle w:val="ListParagraph"/>
        <w:numPr>
          <w:ilvl w:val="0"/>
          <w:numId w:val="13"/>
        </w:numPr>
      </w:pPr>
      <w:r>
        <w:t>Whole-of-Government Portals</w:t>
      </w:r>
      <w:r>
        <w:tab/>
        <w:t>03</w:t>
      </w:r>
    </w:p>
    <w:p w:rsidR="0090174F" w:rsidRDefault="0090174F" w:rsidP="0090174F">
      <w:pPr>
        <w:pStyle w:val="ListParagraph"/>
        <w:numPr>
          <w:ilvl w:val="0"/>
          <w:numId w:val="13"/>
        </w:numPr>
      </w:pPr>
      <w:r>
        <w:t>Focus areas for myGov</w:t>
      </w:r>
    </w:p>
    <w:p w:rsidR="0090174F" w:rsidRPr="0090174F" w:rsidRDefault="0090174F" w:rsidP="0090174F">
      <w:pPr>
        <w:tabs>
          <w:tab w:val="clear" w:pos="1066"/>
        </w:tabs>
        <w:autoSpaceDE w:val="0"/>
        <w:autoSpaceDN w:val="0"/>
        <w:adjustRightInd w:val="0"/>
        <w:ind w:left="720"/>
      </w:pPr>
      <w:r w:rsidRPr="0090174F">
        <w:t>3.1. Focus area 1: A foundation of trust 06</w:t>
      </w:r>
    </w:p>
    <w:p w:rsidR="0090174F" w:rsidRPr="0090174F" w:rsidRDefault="0090174F" w:rsidP="0090174F">
      <w:pPr>
        <w:tabs>
          <w:tab w:val="clear" w:pos="1066"/>
        </w:tabs>
        <w:autoSpaceDE w:val="0"/>
        <w:autoSpaceDN w:val="0"/>
        <w:adjustRightInd w:val="0"/>
        <w:ind w:left="720"/>
      </w:pPr>
      <w:r w:rsidRPr="0090174F">
        <w:t>3.2. Focus area 2: Intuitive, tailored, and seamless services 08</w:t>
      </w:r>
    </w:p>
    <w:p w:rsidR="0090174F" w:rsidRPr="0090174F" w:rsidRDefault="0090174F" w:rsidP="0090174F">
      <w:pPr>
        <w:tabs>
          <w:tab w:val="clear" w:pos="1066"/>
        </w:tabs>
        <w:autoSpaceDE w:val="0"/>
        <w:autoSpaceDN w:val="0"/>
        <w:adjustRightInd w:val="0"/>
        <w:ind w:left="720"/>
      </w:pPr>
      <w:r w:rsidRPr="0090174F">
        <w:t>3.3. Focus area 3: You and your information are safe 11</w:t>
      </w:r>
    </w:p>
    <w:p w:rsidR="0090174F" w:rsidRPr="0090174F" w:rsidRDefault="0090174F" w:rsidP="0090174F">
      <w:pPr>
        <w:tabs>
          <w:tab w:val="clear" w:pos="1066"/>
        </w:tabs>
        <w:autoSpaceDE w:val="0"/>
        <w:autoSpaceDN w:val="0"/>
        <w:adjustRightInd w:val="0"/>
        <w:ind w:left="720"/>
      </w:pPr>
      <w:r w:rsidRPr="0090174F">
        <w:t>3.4. Focus area 4: myGov works for everyone 13</w:t>
      </w:r>
    </w:p>
    <w:p w:rsidR="0090174F" w:rsidRDefault="0090174F" w:rsidP="0090174F">
      <w:pPr>
        <w:tabs>
          <w:tab w:val="clear" w:pos="1066"/>
        </w:tabs>
        <w:autoSpaceDE w:val="0"/>
        <w:autoSpaceDN w:val="0"/>
        <w:adjustRightInd w:val="0"/>
        <w:ind w:left="720"/>
      </w:pPr>
      <w:r w:rsidRPr="0090174F">
        <w:t>3.5. Focus area 5: Modern delivery engine 14</w:t>
      </w:r>
    </w:p>
    <w:p w:rsidR="0090174F" w:rsidRDefault="0090174F" w:rsidP="0090174F">
      <w:pPr>
        <w:tabs>
          <w:tab w:val="clear" w:pos="1066"/>
        </w:tabs>
        <w:autoSpaceDE w:val="0"/>
        <w:autoSpaceDN w:val="0"/>
        <w:adjustRightInd w:val="0"/>
        <w:ind w:left="720"/>
      </w:pPr>
      <w:r w:rsidRPr="0090174F">
        <w:t>3.6. Focus area 6: What is needed to get there 16</w:t>
      </w:r>
    </w:p>
    <w:p w:rsidR="0090174F" w:rsidRPr="0090174F" w:rsidRDefault="0090174F" w:rsidP="0090174F">
      <w:pPr>
        <w:tabs>
          <w:tab w:val="clear" w:pos="1066"/>
        </w:tabs>
        <w:autoSpaceDE w:val="0"/>
        <w:autoSpaceDN w:val="0"/>
        <w:adjustRightInd w:val="0"/>
        <w:ind w:left="360"/>
      </w:pPr>
      <w:r>
        <w:t>4.</w:t>
      </w:r>
      <w:r>
        <w:tab/>
        <w:t>Conclusion</w:t>
      </w:r>
      <w:r>
        <w:tab/>
        <w:t>17</w:t>
      </w:r>
    </w:p>
    <w:p w:rsidR="0090174F" w:rsidRPr="00194BAF" w:rsidRDefault="0090174F" w:rsidP="00194BAF">
      <w:pPr>
        <w:pStyle w:val="Heading2"/>
      </w:pPr>
      <w:r w:rsidRPr="00194BAF">
        <w:t>1. Introduction</w:t>
      </w:r>
    </w:p>
    <w:p w:rsidR="0090174F" w:rsidRPr="0090174F" w:rsidRDefault="0090174F" w:rsidP="0090174F">
      <w:pPr>
        <w:tabs>
          <w:tab w:val="clear" w:pos="1066"/>
        </w:tabs>
        <w:autoSpaceDE w:val="0"/>
        <w:autoSpaceDN w:val="0"/>
        <w:adjustRightInd w:val="0"/>
      </w:pPr>
      <w:r w:rsidRPr="0090174F">
        <w:t>In September 2022, the Aus</w:t>
      </w:r>
      <w:r>
        <w:t xml:space="preserve">tralian Minister for Government </w:t>
      </w:r>
      <w:r w:rsidRPr="0090174F">
        <w:t>Services announced an independent user audit of myGov – a</w:t>
      </w:r>
      <w:r>
        <w:t xml:space="preserve"> </w:t>
      </w:r>
      <w:r w:rsidRPr="0090174F">
        <w:t>digital services portal of the Australian Government. A panel of</w:t>
      </w:r>
      <w:r>
        <w:t xml:space="preserve"> </w:t>
      </w:r>
      <w:r w:rsidRPr="0090174F">
        <w:t>experts was tasked with reviewing how myGov is performing for</w:t>
      </w:r>
      <w:r>
        <w:t xml:space="preserve"> </w:t>
      </w:r>
      <w:r w:rsidRPr="0090174F">
        <w:t>Australians when it comes to reliability, functionality, security</w:t>
      </w:r>
      <w:r>
        <w:t xml:space="preserve"> </w:t>
      </w:r>
      <w:r w:rsidRPr="0090174F">
        <w:t>and delivering a user-friendly experience.</w:t>
      </w:r>
    </w:p>
    <w:p w:rsidR="0090174F" w:rsidRDefault="0090174F" w:rsidP="0090174F">
      <w:pPr>
        <w:tabs>
          <w:tab w:val="clear" w:pos="1066"/>
        </w:tabs>
        <w:autoSpaceDE w:val="0"/>
        <w:autoSpaceDN w:val="0"/>
        <w:adjustRightInd w:val="0"/>
      </w:pPr>
    </w:p>
    <w:p w:rsidR="0090174F" w:rsidRPr="0090174F" w:rsidRDefault="0090174F" w:rsidP="0090174F">
      <w:pPr>
        <w:tabs>
          <w:tab w:val="clear" w:pos="1066"/>
        </w:tabs>
        <w:autoSpaceDE w:val="0"/>
        <w:autoSpaceDN w:val="0"/>
        <w:adjustRightInd w:val="0"/>
      </w:pPr>
      <w:r w:rsidRPr="0090174F">
        <w:t>BCG was engaged to support the myGov audit by undertaking</w:t>
      </w:r>
      <w:r>
        <w:t xml:space="preserve"> </w:t>
      </w:r>
      <w:r w:rsidRPr="0090174F">
        <w:t>research on international best practices in the delivery of digital</w:t>
      </w:r>
      <w:r>
        <w:t xml:space="preserve"> </w:t>
      </w:r>
      <w:r w:rsidRPr="0090174F">
        <w:t>services to citizens. The focus of the research was to provide</w:t>
      </w:r>
      <w:r>
        <w:t xml:space="preserve"> </w:t>
      </w:r>
      <w:r w:rsidRPr="0090174F">
        <w:t>exemplars and ideas from both public and private sector, to</w:t>
      </w:r>
      <w:r>
        <w:t xml:space="preserve"> </w:t>
      </w:r>
      <w:r w:rsidRPr="0090174F">
        <w:t>further enhance the delivery of myGov. We leveraged the global</w:t>
      </w:r>
      <w:r>
        <w:t xml:space="preserve"> </w:t>
      </w:r>
      <w:r w:rsidRPr="0090174F">
        <w:t>databases, knowledge, and experience of BCG’s Center for</w:t>
      </w:r>
      <w:r>
        <w:t xml:space="preserve"> </w:t>
      </w:r>
      <w:r w:rsidRPr="0090174F">
        <w:t>Digital Government, interviews with global experts and consultation</w:t>
      </w:r>
      <w:r>
        <w:t xml:space="preserve"> </w:t>
      </w:r>
      <w:r w:rsidRPr="0090174F">
        <w:t>with relevant subject matter experts and reviewed information</w:t>
      </w:r>
      <w:r>
        <w:t xml:space="preserve"> </w:t>
      </w:r>
      <w:r w:rsidRPr="0090174F">
        <w:t>provided by the myGov audit team. The outputs of this</w:t>
      </w:r>
      <w:r>
        <w:t xml:space="preserve"> </w:t>
      </w:r>
      <w:r w:rsidRPr="0090174F">
        <w:t>research are contained in a Comprehensive Research Report</w:t>
      </w:r>
      <w:r>
        <w:t xml:space="preserve"> </w:t>
      </w:r>
      <w:r w:rsidRPr="0090174F">
        <w:t>and this Summary Research Report.</w:t>
      </w:r>
    </w:p>
    <w:p w:rsidR="0090174F" w:rsidRPr="00194BAF" w:rsidRDefault="0090174F" w:rsidP="00194BAF">
      <w:pPr>
        <w:pStyle w:val="Heading2"/>
      </w:pPr>
      <w:r w:rsidRPr="00194BAF">
        <w:t>2. Whole-of-Government Portals</w:t>
      </w:r>
    </w:p>
    <w:p w:rsidR="000850DC" w:rsidRDefault="0090174F" w:rsidP="000850DC">
      <w:pPr>
        <w:tabs>
          <w:tab w:val="clear" w:pos="1066"/>
        </w:tabs>
        <w:autoSpaceDE w:val="0"/>
        <w:autoSpaceDN w:val="0"/>
        <w:adjustRightInd w:val="0"/>
      </w:pPr>
      <w:r w:rsidRPr="0090174F">
        <w:t>BCG conducted research on whole-of-government</w:t>
      </w:r>
      <w:r w:rsidR="000850DC">
        <w:t xml:space="preserve"> </w:t>
      </w:r>
      <w:r w:rsidRPr="0090174F">
        <w:t>portals to identify best practices and lessons</w:t>
      </w:r>
      <w:r w:rsidR="000850DC">
        <w:t xml:space="preserve"> learned.</w:t>
      </w:r>
    </w:p>
    <w:p w:rsidR="000850DC" w:rsidRDefault="000850DC" w:rsidP="000850DC">
      <w:pPr>
        <w:tabs>
          <w:tab w:val="clear" w:pos="1066"/>
        </w:tabs>
        <w:autoSpaceDE w:val="0"/>
        <w:autoSpaceDN w:val="0"/>
        <w:adjustRightInd w:val="0"/>
      </w:pPr>
    </w:p>
    <w:p w:rsidR="0090174F" w:rsidRPr="0090174F" w:rsidRDefault="0090174F" w:rsidP="000850DC">
      <w:pPr>
        <w:tabs>
          <w:tab w:val="clear" w:pos="1066"/>
        </w:tabs>
        <w:autoSpaceDE w:val="0"/>
        <w:autoSpaceDN w:val="0"/>
        <w:adjustRightInd w:val="0"/>
      </w:pPr>
      <w:r w:rsidRPr="0090174F">
        <w:t>A shortlist of eight were selected for</w:t>
      </w:r>
      <w:r w:rsidR="000850DC">
        <w:t xml:space="preserve"> </w:t>
      </w:r>
      <w:r w:rsidRPr="0090174F">
        <w:t>deep-dives. They were:</w:t>
      </w:r>
    </w:p>
    <w:p w:rsidR="0090174F" w:rsidRPr="0090174F" w:rsidRDefault="0090174F" w:rsidP="000850DC">
      <w:pPr>
        <w:pStyle w:val="ListParagraph"/>
        <w:numPr>
          <w:ilvl w:val="0"/>
          <w:numId w:val="14"/>
        </w:numPr>
        <w:tabs>
          <w:tab w:val="clear" w:pos="1066"/>
        </w:tabs>
        <w:autoSpaceDE w:val="0"/>
        <w:autoSpaceDN w:val="0"/>
        <w:adjustRightInd w:val="0"/>
      </w:pPr>
      <w:r w:rsidRPr="0090174F">
        <w:t>Canada – MyServiceCanada</w:t>
      </w:r>
    </w:p>
    <w:p w:rsidR="0090174F" w:rsidRPr="0090174F" w:rsidRDefault="0090174F" w:rsidP="002A1FEA">
      <w:pPr>
        <w:pStyle w:val="ListParagraph"/>
        <w:numPr>
          <w:ilvl w:val="0"/>
          <w:numId w:val="14"/>
        </w:numPr>
        <w:tabs>
          <w:tab w:val="clear" w:pos="1066"/>
        </w:tabs>
        <w:autoSpaceDE w:val="0"/>
        <w:autoSpaceDN w:val="0"/>
        <w:adjustRightInd w:val="0"/>
      </w:pPr>
      <w:r w:rsidRPr="0090174F">
        <w:t xml:space="preserve">Denmark </w:t>
      </w:r>
      <w:r w:rsidR="002A1FEA">
        <w:t>–</w:t>
      </w:r>
      <w:r w:rsidRPr="0090174F">
        <w:t xml:space="preserve"> borger.dk</w:t>
      </w:r>
    </w:p>
    <w:p w:rsidR="0090174F" w:rsidRPr="0090174F" w:rsidRDefault="0090174F" w:rsidP="002A1FEA">
      <w:pPr>
        <w:pStyle w:val="ListParagraph"/>
        <w:numPr>
          <w:ilvl w:val="0"/>
          <w:numId w:val="14"/>
        </w:numPr>
        <w:tabs>
          <w:tab w:val="clear" w:pos="1066"/>
        </w:tabs>
        <w:autoSpaceDE w:val="0"/>
        <w:autoSpaceDN w:val="0"/>
        <w:adjustRightInd w:val="0"/>
      </w:pPr>
      <w:r w:rsidRPr="0090174F">
        <w:t xml:space="preserve">Estonia </w:t>
      </w:r>
      <w:r w:rsidR="002A1FEA">
        <w:t>–</w:t>
      </w:r>
      <w:r w:rsidRPr="0090174F">
        <w:t xml:space="preserve"> EESTI.ee</w:t>
      </w:r>
    </w:p>
    <w:p w:rsidR="0090174F" w:rsidRPr="0090174F" w:rsidRDefault="0090174F" w:rsidP="000850DC">
      <w:pPr>
        <w:pStyle w:val="ListParagraph"/>
        <w:numPr>
          <w:ilvl w:val="0"/>
          <w:numId w:val="14"/>
        </w:numPr>
        <w:tabs>
          <w:tab w:val="clear" w:pos="1066"/>
        </w:tabs>
        <w:autoSpaceDE w:val="0"/>
        <w:autoSpaceDN w:val="0"/>
        <w:adjustRightInd w:val="0"/>
      </w:pPr>
      <w:r w:rsidRPr="0090174F">
        <w:t>France – FranceConnect</w:t>
      </w:r>
    </w:p>
    <w:p w:rsidR="0090174F" w:rsidRPr="0090174F" w:rsidRDefault="0090174F" w:rsidP="000850DC">
      <w:pPr>
        <w:pStyle w:val="ListParagraph"/>
        <w:numPr>
          <w:ilvl w:val="0"/>
          <w:numId w:val="14"/>
        </w:numPr>
        <w:tabs>
          <w:tab w:val="clear" w:pos="1066"/>
        </w:tabs>
        <w:autoSpaceDE w:val="0"/>
        <w:autoSpaceDN w:val="0"/>
        <w:adjustRightInd w:val="0"/>
      </w:pPr>
      <w:r w:rsidRPr="0090174F">
        <w:t>New South Wales – ServiceNSW</w:t>
      </w:r>
    </w:p>
    <w:p w:rsidR="0090174F" w:rsidRPr="0090174F" w:rsidRDefault="0090174F" w:rsidP="000850DC">
      <w:pPr>
        <w:pStyle w:val="ListParagraph"/>
        <w:numPr>
          <w:ilvl w:val="0"/>
          <w:numId w:val="14"/>
        </w:numPr>
        <w:tabs>
          <w:tab w:val="clear" w:pos="1066"/>
        </w:tabs>
        <w:autoSpaceDE w:val="0"/>
        <w:autoSpaceDN w:val="0"/>
        <w:adjustRightInd w:val="0"/>
      </w:pPr>
      <w:r w:rsidRPr="0090174F">
        <w:t>New Zealand - RealMe</w:t>
      </w:r>
    </w:p>
    <w:p w:rsidR="0090174F" w:rsidRPr="0090174F" w:rsidRDefault="0090174F" w:rsidP="002A1FEA">
      <w:pPr>
        <w:pStyle w:val="ListParagraph"/>
        <w:numPr>
          <w:ilvl w:val="0"/>
          <w:numId w:val="14"/>
        </w:numPr>
        <w:tabs>
          <w:tab w:val="clear" w:pos="1066"/>
        </w:tabs>
        <w:autoSpaceDE w:val="0"/>
        <w:autoSpaceDN w:val="0"/>
        <w:adjustRightInd w:val="0"/>
      </w:pPr>
      <w:r w:rsidRPr="0090174F">
        <w:t xml:space="preserve">Singapore </w:t>
      </w:r>
      <w:r w:rsidR="002A1FEA">
        <w:t>–</w:t>
      </w:r>
      <w:r w:rsidRPr="0090174F">
        <w:t xml:space="preserve"> Singpass</w:t>
      </w:r>
    </w:p>
    <w:p w:rsidR="0090174F" w:rsidRPr="0090174F" w:rsidRDefault="0090174F" w:rsidP="000850DC">
      <w:pPr>
        <w:pStyle w:val="ListParagraph"/>
        <w:numPr>
          <w:ilvl w:val="0"/>
          <w:numId w:val="14"/>
        </w:numPr>
        <w:tabs>
          <w:tab w:val="clear" w:pos="1066"/>
        </w:tabs>
        <w:autoSpaceDE w:val="0"/>
        <w:autoSpaceDN w:val="0"/>
        <w:adjustRightInd w:val="0"/>
      </w:pPr>
      <w:r w:rsidRPr="0090174F">
        <w:t>South Korea – Government 24</w:t>
      </w:r>
    </w:p>
    <w:p w:rsidR="0090174F" w:rsidRDefault="0090174F" w:rsidP="000850DC">
      <w:pPr>
        <w:pStyle w:val="ListParagraph"/>
        <w:numPr>
          <w:ilvl w:val="0"/>
          <w:numId w:val="14"/>
        </w:numPr>
      </w:pPr>
      <w:r w:rsidRPr="0090174F">
        <w:t>United Kingdom – Gov.UK</w:t>
      </w:r>
    </w:p>
    <w:p w:rsidR="000850DC" w:rsidRPr="0090174F" w:rsidRDefault="000850DC" w:rsidP="000850DC"/>
    <w:p w:rsidR="0090174F" w:rsidRPr="0090174F" w:rsidRDefault="0090174F" w:rsidP="0090174F">
      <w:pPr>
        <w:tabs>
          <w:tab w:val="clear" w:pos="1066"/>
        </w:tabs>
        <w:autoSpaceDE w:val="0"/>
        <w:autoSpaceDN w:val="0"/>
        <w:adjustRightInd w:val="0"/>
      </w:pPr>
      <w:r w:rsidRPr="0090174F">
        <w:t>A table summary of the key elements is illustrated</w:t>
      </w:r>
      <w:r w:rsidR="000850DC">
        <w:t xml:space="preserve"> </w:t>
      </w:r>
      <w:r w:rsidRPr="0090174F">
        <w:t>in Table 1. The main findings from reviewing the</w:t>
      </w:r>
      <w:r w:rsidR="000850DC">
        <w:t xml:space="preserve"> </w:t>
      </w:r>
      <w:r w:rsidRPr="0090174F">
        <w:t>features and performance of these portals were:</w:t>
      </w:r>
    </w:p>
    <w:p w:rsidR="000850DC" w:rsidRDefault="000850DC" w:rsidP="0090174F">
      <w:pPr>
        <w:tabs>
          <w:tab w:val="clear" w:pos="1066"/>
        </w:tabs>
        <w:autoSpaceDE w:val="0"/>
        <w:autoSpaceDN w:val="0"/>
        <w:adjustRightInd w:val="0"/>
      </w:pPr>
    </w:p>
    <w:p w:rsidR="0090174F" w:rsidRDefault="0090174F" w:rsidP="000850DC">
      <w:pPr>
        <w:pStyle w:val="ListParagraph"/>
        <w:numPr>
          <w:ilvl w:val="0"/>
          <w:numId w:val="18"/>
        </w:numPr>
        <w:tabs>
          <w:tab w:val="clear" w:pos="1066"/>
        </w:tabs>
        <w:autoSpaceDE w:val="0"/>
        <w:autoSpaceDN w:val="0"/>
        <w:adjustRightInd w:val="0"/>
      </w:pPr>
      <w:r w:rsidRPr="0090174F">
        <w:t>Single whole-of-government entry-points with</w:t>
      </w:r>
      <w:r w:rsidR="000850DC">
        <w:t xml:space="preserve"> </w:t>
      </w:r>
      <w:r w:rsidRPr="0090174F">
        <w:t>the highest adoption and citizen satisfaction</w:t>
      </w:r>
      <w:r w:rsidR="000850DC">
        <w:t xml:space="preserve"> </w:t>
      </w:r>
      <w:r w:rsidRPr="0090174F">
        <w:t>combine navigation, information and transactions</w:t>
      </w:r>
    </w:p>
    <w:p w:rsidR="0090174F" w:rsidRDefault="0090174F" w:rsidP="000850DC">
      <w:pPr>
        <w:pStyle w:val="ListParagraph"/>
        <w:numPr>
          <w:ilvl w:val="0"/>
          <w:numId w:val="18"/>
        </w:numPr>
        <w:tabs>
          <w:tab w:val="clear" w:pos="1066"/>
        </w:tabs>
        <w:autoSpaceDE w:val="0"/>
        <w:autoSpaceDN w:val="0"/>
        <w:adjustRightInd w:val="0"/>
      </w:pPr>
      <w:r w:rsidRPr="0090174F">
        <w:t>Citizens increasingly</w:t>
      </w:r>
      <w:r w:rsidR="000850DC">
        <w:t xml:space="preserve"> expect omnichannel experiences </w:t>
      </w:r>
      <w:r w:rsidRPr="0090174F">
        <w:t>in line with best practice private sector</w:t>
      </w:r>
      <w:r w:rsidR="000850DC">
        <w:t xml:space="preserve"> </w:t>
      </w:r>
      <w:r w:rsidRPr="0090174F">
        <w:t>offerings (e.g. chatbots, virtual assistant,</w:t>
      </w:r>
      <w:r w:rsidR="000850DC">
        <w:t xml:space="preserve"> </w:t>
      </w:r>
      <w:r w:rsidRPr="0090174F">
        <w:t>telephony, mobile, online)</w:t>
      </w:r>
    </w:p>
    <w:p w:rsidR="0090174F" w:rsidRPr="0090174F" w:rsidRDefault="0090174F" w:rsidP="000850DC">
      <w:pPr>
        <w:pStyle w:val="ListParagraph"/>
        <w:numPr>
          <w:ilvl w:val="0"/>
          <w:numId w:val="18"/>
        </w:numPr>
        <w:tabs>
          <w:tab w:val="clear" w:pos="1066"/>
        </w:tabs>
        <w:autoSpaceDE w:val="0"/>
        <w:autoSpaceDN w:val="0"/>
        <w:adjustRightInd w:val="0"/>
      </w:pPr>
      <w:r w:rsidRPr="0090174F">
        <w:t xml:space="preserve">Trust is a </w:t>
      </w:r>
      <w:r w:rsidR="000850DC">
        <w:t xml:space="preserve">fundamental factor underpinning </w:t>
      </w:r>
      <w:r w:rsidRPr="0090174F">
        <w:t>adoption and success of government portals,</w:t>
      </w:r>
      <w:r w:rsidR="000850DC">
        <w:t xml:space="preserve"> </w:t>
      </w:r>
      <w:r w:rsidRPr="0090174F">
        <w:t>shaped by citizen experience and data protection/privacy</w:t>
      </w:r>
    </w:p>
    <w:p w:rsidR="0090174F" w:rsidRPr="0090174F" w:rsidRDefault="0090174F" w:rsidP="000850DC">
      <w:pPr>
        <w:pStyle w:val="ListParagraph"/>
        <w:numPr>
          <w:ilvl w:val="0"/>
          <w:numId w:val="18"/>
        </w:numPr>
        <w:tabs>
          <w:tab w:val="clear" w:pos="1066"/>
        </w:tabs>
        <w:autoSpaceDE w:val="0"/>
        <w:autoSpaceDN w:val="0"/>
        <w:adjustRightInd w:val="0"/>
      </w:pPr>
      <w:r w:rsidRPr="0090174F">
        <w:t>Best practice p</w:t>
      </w:r>
      <w:r w:rsidR="000850DC">
        <w:t xml:space="preserve">ortals eliminate redundancy for </w:t>
      </w:r>
      <w:r w:rsidRPr="0090174F">
        <w:t>the user by promoting tell us once principles</w:t>
      </w:r>
      <w:r w:rsidR="000850DC">
        <w:t xml:space="preserve"> </w:t>
      </w:r>
      <w:r w:rsidRPr="0090174F">
        <w:t>across government and jurisdictions (e.g.</w:t>
      </w:r>
      <w:r w:rsidR="000850DC">
        <w:t xml:space="preserve"> </w:t>
      </w:r>
      <w:r w:rsidRPr="0090174F">
        <w:t>Canada, Estonia &amp; Finland)</w:t>
      </w:r>
    </w:p>
    <w:p w:rsidR="0090174F" w:rsidRDefault="0090174F" w:rsidP="000850DC">
      <w:pPr>
        <w:pStyle w:val="ListParagraph"/>
        <w:numPr>
          <w:ilvl w:val="0"/>
          <w:numId w:val="18"/>
        </w:numPr>
        <w:tabs>
          <w:tab w:val="clear" w:pos="1066"/>
        </w:tabs>
        <w:autoSpaceDE w:val="0"/>
        <w:autoSpaceDN w:val="0"/>
        <w:adjustRightInd w:val="0"/>
      </w:pPr>
      <w:r w:rsidRPr="0090174F">
        <w:t>Portal design and development should leverage</w:t>
      </w:r>
      <w:r w:rsidR="000850DC">
        <w:t xml:space="preserve"> </w:t>
      </w:r>
      <w:r w:rsidRPr="0090174F">
        <w:t>a contemporary open and modular architecture</w:t>
      </w:r>
      <w:r w:rsidR="00626E8D">
        <w:t xml:space="preserve"> </w:t>
      </w:r>
      <w:r w:rsidRPr="0090174F">
        <w:t>with embedded digital identity</w:t>
      </w:r>
    </w:p>
    <w:p w:rsidR="0090174F" w:rsidRDefault="0090174F" w:rsidP="0090174F"/>
    <w:p w:rsidR="0090174F" w:rsidRDefault="0090174F" w:rsidP="0090174F">
      <w:r>
        <w:t>Table 1: Key features of comparable portals to myGov</w:t>
      </w:r>
    </w:p>
    <w:p w:rsidR="0090174F" w:rsidRDefault="0090174F" w:rsidP="0090174F"/>
    <w:p w:rsidR="0090174F" w:rsidRPr="00194BAF" w:rsidRDefault="0090174F" w:rsidP="00194BAF">
      <w:pPr>
        <w:pStyle w:val="Heading2"/>
      </w:pPr>
      <w:r w:rsidRPr="00194BAF">
        <w:t>3</w:t>
      </w:r>
      <w:r w:rsidR="002A1FEA" w:rsidRPr="00194BAF">
        <w:t>.</w:t>
      </w:r>
      <w:r w:rsidRPr="00194BAF">
        <w:t xml:space="preserve"> Focus areas for myGov</w:t>
      </w:r>
    </w:p>
    <w:p w:rsidR="0090174F" w:rsidRPr="002A1FEA" w:rsidRDefault="0090174F" w:rsidP="00691706">
      <w:pPr>
        <w:tabs>
          <w:tab w:val="clear" w:pos="1066"/>
        </w:tabs>
        <w:autoSpaceDE w:val="0"/>
        <w:autoSpaceDN w:val="0"/>
        <w:adjustRightInd w:val="0"/>
      </w:pPr>
      <w:r w:rsidRPr="002A1FEA">
        <w:t>The myGov audit used a framework structured into</w:t>
      </w:r>
      <w:r w:rsidR="00691706" w:rsidRPr="002A1FEA">
        <w:t xml:space="preserve"> </w:t>
      </w:r>
      <w:r w:rsidRPr="002A1FEA">
        <w:t>six focus areas. They were:</w:t>
      </w:r>
    </w:p>
    <w:p w:rsidR="00691706" w:rsidRPr="00194BAF" w:rsidRDefault="00691706" w:rsidP="0090174F">
      <w:pPr>
        <w:tabs>
          <w:tab w:val="clear" w:pos="1066"/>
        </w:tabs>
        <w:autoSpaceDE w:val="0"/>
        <w:autoSpaceDN w:val="0"/>
        <w:adjustRightInd w:val="0"/>
      </w:pPr>
    </w:p>
    <w:p w:rsidR="0090174F" w:rsidRPr="002A1FEA" w:rsidRDefault="0090174F" w:rsidP="002A1FEA">
      <w:pPr>
        <w:pStyle w:val="ListParagraph"/>
        <w:numPr>
          <w:ilvl w:val="0"/>
          <w:numId w:val="20"/>
        </w:numPr>
        <w:tabs>
          <w:tab w:val="clear" w:pos="1066"/>
        </w:tabs>
        <w:autoSpaceDE w:val="0"/>
        <w:autoSpaceDN w:val="0"/>
        <w:adjustRightInd w:val="0"/>
      </w:pPr>
      <w:r w:rsidRPr="002A1FEA">
        <w:t>A foundation of trust</w:t>
      </w:r>
      <w:r w:rsidR="00691706" w:rsidRPr="002A1FEA">
        <w:t xml:space="preserve"> </w:t>
      </w:r>
      <w:r w:rsidRPr="002A1FEA">
        <w:t>Intuitive, seamless and tailored</w:t>
      </w:r>
    </w:p>
    <w:p w:rsidR="0090174F" w:rsidRPr="002A1FEA" w:rsidRDefault="0090174F" w:rsidP="002A1FEA">
      <w:pPr>
        <w:pStyle w:val="ListParagraph"/>
        <w:numPr>
          <w:ilvl w:val="0"/>
          <w:numId w:val="19"/>
        </w:numPr>
        <w:tabs>
          <w:tab w:val="clear" w:pos="1066"/>
        </w:tabs>
        <w:autoSpaceDE w:val="0"/>
        <w:autoSpaceDN w:val="0"/>
        <w:adjustRightInd w:val="0"/>
      </w:pPr>
      <w:r w:rsidRPr="002A1FEA">
        <w:t>You and your information are safe</w:t>
      </w:r>
    </w:p>
    <w:p w:rsidR="0090174F" w:rsidRPr="002A1FEA" w:rsidRDefault="0090174F" w:rsidP="002A1FEA">
      <w:pPr>
        <w:pStyle w:val="ListParagraph"/>
        <w:numPr>
          <w:ilvl w:val="0"/>
          <w:numId w:val="19"/>
        </w:numPr>
        <w:tabs>
          <w:tab w:val="clear" w:pos="1066"/>
        </w:tabs>
        <w:autoSpaceDE w:val="0"/>
        <w:autoSpaceDN w:val="0"/>
        <w:adjustRightInd w:val="0"/>
      </w:pPr>
      <w:r w:rsidRPr="002A1FEA">
        <w:t>myGov works for everyone</w:t>
      </w:r>
    </w:p>
    <w:p w:rsidR="0090174F" w:rsidRPr="002A1FEA" w:rsidRDefault="0090174F" w:rsidP="002A1FEA">
      <w:pPr>
        <w:pStyle w:val="ListParagraph"/>
        <w:numPr>
          <w:ilvl w:val="0"/>
          <w:numId w:val="19"/>
        </w:numPr>
        <w:tabs>
          <w:tab w:val="clear" w:pos="1066"/>
        </w:tabs>
        <w:autoSpaceDE w:val="0"/>
        <w:autoSpaceDN w:val="0"/>
        <w:adjustRightInd w:val="0"/>
      </w:pPr>
      <w:r w:rsidRPr="002A1FEA">
        <w:t>A modern delivery engine</w:t>
      </w:r>
    </w:p>
    <w:p w:rsidR="0090174F" w:rsidRPr="002A1FEA" w:rsidRDefault="0090174F" w:rsidP="002A1FEA">
      <w:pPr>
        <w:pStyle w:val="ListParagraph"/>
        <w:numPr>
          <w:ilvl w:val="0"/>
          <w:numId w:val="19"/>
        </w:numPr>
      </w:pPr>
      <w:r w:rsidRPr="002A1FEA">
        <w:t>What is needed to get there</w:t>
      </w:r>
    </w:p>
    <w:p w:rsidR="002A1FEA" w:rsidRDefault="002A1FEA" w:rsidP="00A1419F">
      <w:pPr>
        <w:tabs>
          <w:tab w:val="clear" w:pos="1066"/>
        </w:tabs>
        <w:autoSpaceDE w:val="0"/>
        <w:autoSpaceDN w:val="0"/>
        <w:adjustRightInd w:val="0"/>
      </w:pPr>
    </w:p>
    <w:p w:rsidR="00A1419F" w:rsidRPr="00194BAF" w:rsidRDefault="00A1419F" w:rsidP="00194BAF">
      <w:pPr>
        <w:tabs>
          <w:tab w:val="clear" w:pos="1066"/>
        </w:tabs>
        <w:autoSpaceDE w:val="0"/>
        <w:autoSpaceDN w:val="0"/>
        <w:adjustRightInd w:val="0"/>
      </w:pPr>
      <w:r w:rsidRPr="002A1FEA">
        <w:t>We organised our findings from the international</w:t>
      </w:r>
      <w:r w:rsidR="002A1FEA">
        <w:t xml:space="preserve"> </w:t>
      </w:r>
      <w:r w:rsidRPr="002A1FEA">
        <w:t>research on best practices and lessons learned</w:t>
      </w:r>
      <w:r w:rsidR="002A1FEA">
        <w:t xml:space="preserve"> </w:t>
      </w:r>
      <w:r w:rsidRPr="002A1FEA">
        <w:t>aligned to these six focus areas, as follows.</w:t>
      </w:r>
    </w:p>
    <w:p w:rsidR="00A1419F" w:rsidRDefault="00A1419F" w:rsidP="002A1FEA">
      <w:pPr>
        <w:pStyle w:val="Heading3"/>
        <w:rPr>
          <w:lang w:eastAsia="en-AU"/>
        </w:rPr>
      </w:pPr>
      <w:r>
        <w:rPr>
          <w:lang w:eastAsia="en-AU"/>
        </w:rPr>
        <w:t>3.1. Focus area 1:</w:t>
      </w:r>
      <w:r w:rsidR="002A1FEA">
        <w:rPr>
          <w:lang w:eastAsia="en-AU"/>
        </w:rPr>
        <w:t xml:space="preserve"> A foundation of trust</w:t>
      </w:r>
    </w:p>
    <w:p w:rsidR="00A1419F" w:rsidRDefault="00A1419F" w:rsidP="002A1FEA">
      <w:pPr>
        <w:pStyle w:val="BodyText"/>
        <w:rPr>
          <w:lang w:eastAsia="en-AU"/>
        </w:rPr>
      </w:pPr>
      <w:r>
        <w:rPr>
          <w:lang w:eastAsia="en-AU"/>
        </w:rPr>
        <w:t>Trust in government is fundamental to the</w:t>
      </w:r>
      <w:r w:rsidR="002A1FEA">
        <w:rPr>
          <w:lang w:eastAsia="en-AU"/>
        </w:rPr>
        <w:t xml:space="preserve"> </w:t>
      </w:r>
      <w:r>
        <w:rPr>
          <w:lang w:eastAsia="en-AU"/>
        </w:rPr>
        <w:t>success of digital government service delivery</w:t>
      </w:r>
      <w:r w:rsidR="002A1FEA">
        <w:rPr>
          <w:lang w:eastAsia="en-AU"/>
        </w:rPr>
        <w:t xml:space="preserve"> </w:t>
      </w:r>
      <w:r>
        <w:rPr>
          <w:lang w:eastAsia="en-AU"/>
        </w:rPr>
        <w:t>portals such as myGov. There is empirical</w:t>
      </w:r>
      <w:r w:rsidR="002A1FEA">
        <w:rPr>
          <w:lang w:eastAsia="en-AU"/>
        </w:rPr>
        <w:t xml:space="preserve"> </w:t>
      </w:r>
      <w:r>
        <w:rPr>
          <w:lang w:eastAsia="en-AU"/>
        </w:rPr>
        <w:t>evidence of a strong symmetrical relationship</w:t>
      </w:r>
      <w:r w:rsidR="002A1FEA">
        <w:rPr>
          <w:lang w:eastAsia="en-AU"/>
        </w:rPr>
        <w:t xml:space="preserve"> </w:t>
      </w:r>
      <w:r>
        <w:rPr>
          <w:lang w:eastAsia="en-AU"/>
        </w:rPr>
        <w:t>between the quality of customer experience of</w:t>
      </w:r>
      <w:r w:rsidR="002A1FEA">
        <w:rPr>
          <w:lang w:eastAsia="en-AU"/>
        </w:rPr>
        <w:t xml:space="preserve"> </w:t>
      </w:r>
      <w:r>
        <w:rPr>
          <w:lang w:eastAsia="en-AU"/>
        </w:rPr>
        <w:t>government service delivery and trust in the</w:t>
      </w:r>
      <w:r w:rsidR="002A1FEA">
        <w:rPr>
          <w:lang w:eastAsia="en-AU"/>
        </w:rPr>
        <w:t xml:space="preserve"> </w:t>
      </w:r>
      <w:r>
        <w:rPr>
          <w:lang w:eastAsia="en-AU"/>
        </w:rPr>
        <w:t>government. Citizens also need confidence</w:t>
      </w:r>
      <w:r w:rsidR="002A1FEA">
        <w:rPr>
          <w:lang w:eastAsia="en-AU"/>
        </w:rPr>
        <w:t xml:space="preserve"> </w:t>
      </w:r>
      <w:r>
        <w:rPr>
          <w:lang w:eastAsia="en-AU"/>
        </w:rPr>
        <w:t>that the government is safeguarding personal</w:t>
      </w:r>
      <w:r w:rsidR="002A1FEA">
        <w:rPr>
          <w:lang w:eastAsia="en-AU"/>
        </w:rPr>
        <w:t xml:space="preserve"> </w:t>
      </w:r>
      <w:r>
        <w:rPr>
          <w:lang w:eastAsia="en-AU"/>
        </w:rPr>
        <w:t>data (often obtained with consent but by</w:t>
      </w:r>
      <w:r w:rsidR="002A1FEA">
        <w:rPr>
          <w:lang w:eastAsia="en-AU"/>
        </w:rPr>
        <w:t xml:space="preserve"> </w:t>
      </w:r>
      <w:r>
        <w:rPr>
          <w:lang w:eastAsia="en-AU"/>
        </w:rPr>
        <w:t>compulsion) and that it is not vulnerable to</w:t>
      </w:r>
      <w:r w:rsidR="002A1FEA">
        <w:rPr>
          <w:lang w:eastAsia="en-AU"/>
        </w:rPr>
        <w:t xml:space="preserve"> </w:t>
      </w:r>
      <w:r>
        <w:rPr>
          <w:lang w:eastAsia="en-AU"/>
        </w:rPr>
        <w:t>malicious use or attack.</w:t>
      </w:r>
    </w:p>
    <w:p w:rsidR="00A1419F" w:rsidRDefault="00A1419F" w:rsidP="002A1FEA">
      <w:pPr>
        <w:pStyle w:val="BodyText"/>
        <w:rPr>
          <w:lang w:eastAsia="en-AU"/>
        </w:rPr>
      </w:pPr>
      <w:r>
        <w:rPr>
          <w:lang w:eastAsia="en-AU"/>
        </w:rPr>
        <w:t>Research and benchmarking of global</w:t>
      </w:r>
      <w:r w:rsidR="002A1FEA">
        <w:rPr>
          <w:lang w:eastAsia="en-AU"/>
        </w:rPr>
        <w:t xml:space="preserve"> </w:t>
      </w:r>
      <w:r>
        <w:rPr>
          <w:lang w:eastAsia="en-AU"/>
        </w:rPr>
        <w:t>whole-of-government citizen service delivery</w:t>
      </w:r>
      <w:r w:rsidR="002A1FEA">
        <w:rPr>
          <w:lang w:eastAsia="en-AU"/>
        </w:rPr>
        <w:t xml:space="preserve"> </w:t>
      </w:r>
      <w:r>
        <w:rPr>
          <w:lang w:eastAsia="en-AU"/>
        </w:rPr>
        <w:t>portals revealed three key insights based on</w:t>
      </w:r>
      <w:r w:rsidR="002A1FEA">
        <w:rPr>
          <w:lang w:eastAsia="en-AU"/>
        </w:rPr>
        <w:t xml:space="preserve"> </w:t>
      </w:r>
      <w:r>
        <w:rPr>
          <w:lang w:eastAsia="en-AU"/>
        </w:rPr>
        <w:t>best practices, with supporting exemplars and</w:t>
      </w:r>
      <w:r w:rsidR="002A1FEA">
        <w:rPr>
          <w:lang w:eastAsia="en-AU"/>
        </w:rPr>
        <w:t xml:space="preserve"> </w:t>
      </w:r>
      <w:r>
        <w:rPr>
          <w:lang w:eastAsia="en-AU"/>
        </w:rPr>
        <w:t>data points (see Exhibit 1).</w:t>
      </w:r>
    </w:p>
    <w:p w:rsidR="00A1419F" w:rsidRDefault="002A1FEA" w:rsidP="002A1FEA">
      <w:pPr>
        <w:pStyle w:val="Heading4"/>
        <w:rPr>
          <w:lang w:eastAsia="en-AU"/>
        </w:rPr>
      </w:pPr>
      <w:r>
        <w:rPr>
          <w:lang w:eastAsia="en-AU"/>
        </w:rPr>
        <w:t>Exhibit 1:</w:t>
      </w:r>
      <w:r w:rsidR="00A1419F">
        <w:rPr>
          <w:lang w:eastAsia="en-AU"/>
        </w:rPr>
        <w:t xml:space="preserve"> </w:t>
      </w:r>
      <w:r>
        <w:rPr>
          <w:lang w:eastAsia="en-AU"/>
        </w:rPr>
        <w:t xml:space="preserve">A </w:t>
      </w:r>
      <w:r w:rsidR="00A1419F">
        <w:rPr>
          <w:lang w:eastAsia="en-AU"/>
        </w:rPr>
        <w:t>foundation of trust – best practice and exemplars</w:t>
      </w:r>
    </w:p>
    <w:p w:rsidR="004D5147" w:rsidRDefault="004D5147" w:rsidP="004D5147">
      <w:pPr>
        <w:pStyle w:val="Heading5"/>
        <w:rPr>
          <w:lang w:eastAsia="en-AU"/>
        </w:rPr>
      </w:pPr>
      <w:r>
        <w:rPr>
          <w:lang w:eastAsia="en-AU"/>
        </w:rPr>
        <w:t>Best practices</w:t>
      </w:r>
    </w:p>
    <w:p w:rsidR="004D5147" w:rsidRDefault="004D5147" w:rsidP="004D5147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Trust in government is impacted by the ease with which citizens can access services and the delivery of high-quality customer experiences</w:t>
      </w:r>
    </w:p>
    <w:p w:rsidR="004D5147" w:rsidRDefault="004D5147" w:rsidP="004D5147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Citizen data access and transparency tools have emerged to help develop high-levels of trust and enhance data security</w:t>
      </w:r>
    </w:p>
    <w:p w:rsidR="004D5147" w:rsidRDefault="004D5147" w:rsidP="004D5147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lastRenderedPageBreak/>
        <w:t>Implement clear regulations and digital legislation to encourage digital device uptake and provide national governance across the digital ecosystem</w:t>
      </w:r>
    </w:p>
    <w:p w:rsidR="004D5147" w:rsidRDefault="004D5147" w:rsidP="004D5147">
      <w:pPr>
        <w:rPr>
          <w:lang w:eastAsia="en-AU"/>
        </w:rPr>
      </w:pPr>
    </w:p>
    <w:p w:rsidR="004D5147" w:rsidRDefault="004D5147" w:rsidP="004D5147">
      <w:pPr>
        <w:pStyle w:val="Heading5"/>
        <w:rPr>
          <w:lang w:eastAsia="en-AU"/>
        </w:rPr>
      </w:pPr>
      <w:r>
        <w:rPr>
          <w:lang w:eastAsia="en-AU"/>
        </w:rPr>
        <w:t>Exemplars</w:t>
      </w:r>
    </w:p>
    <w:p w:rsidR="004D5147" w:rsidRDefault="004D5147" w:rsidP="009F5185">
      <w:pPr>
        <w:pStyle w:val="ListParagraph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Estonia EESTI.EE</w:t>
      </w:r>
    </w:p>
    <w:p w:rsidR="004D5147" w:rsidRDefault="004D5147" w:rsidP="009F5185">
      <w:pPr>
        <w:pStyle w:val="ListParagraph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Denmark</w:t>
      </w:r>
    </w:p>
    <w:p w:rsidR="004D5147" w:rsidRDefault="004D5147" w:rsidP="009F5185">
      <w:pPr>
        <w:pStyle w:val="ListParagraph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US Fed</w:t>
      </w:r>
    </w:p>
    <w:p w:rsidR="004D5147" w:rsidRDefault="004D5147" w:rsidP="004D5147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Deloitte Citizen Experience and Trust Survey (2022)</w:t>
      </w:r>
    </w:p>
    <w:p w:rsidR="004D5147" w:rsidRDefault="004D5147" w:rsidP="004D5147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BCG Salesforce rust Imperative Report (2022)</w:t>
      </w:r>
    </w:p>
    <w:p w:rsidR="004D5147" w:rsidRDefault="004D5147" w:rsidP="004D5147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Accenture Digital Government survey (2019)</w:t>
      </w:r>
    </w:p>
    <w:p w:rsidR="004D5147" w:rsidRDefault="004D5147" w:rsidP="004D5147">
      <w:pPr>
        <w:pStyle w:val="ListParagraph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PWC Australia Citizen Survey (2022)</w:t>
      </w:r>
    </w:p>
    <w:p w:rsidR="004D5147" w:rsidRDefault="004D5147" w:rsidP="004D5147">
      <w:pPr>
        <w:rPr>
          <w:lang w:eastAsia="en-AU"/>
        </w:rPr>
      </w:pPr>
    </w:p>
    <w:p w:rsidR="004D5147" w:rsidRPr="004D5147" w:rsidRDefault="004D5147" w:rsidP="004D5147">
      <w:pPr>
        <w:rPr>
          <w:i/>
          <w:lang w:eastAsia="en-AU"/>
        </w:rPr>
      </w:pPr>
      <w:r w:rsidRPr="004D5147">
        <w:rPr>
          <w:i/>
          <w:lang w:eastAsia="en-AU"/>
        </w:rPr>
        <w:t>Source: BCG research and analysis</w:t>
      </w:r>
    </w:p>
    <w:p w:rsidR="004D5147" w:rsidRPr="004D5147" w:rsidRDefault="004D5147" w:rsidP="004D5147">
      <w:pPr>
        <w:rPr>
          <w:lang w:eastAsia="en-AU"/>
        </w:rPr>
      </w:pPr>
    </w:p>
    <w:p w:rsidR="002A1FEA" w:rsidRPr="002A1FEA" w:rsidRDefault="002A1FEA" w:rsidP="00895DA6">
      <w:pPr>
        <w:pStyle w:val="Heading5"/>
        <w:rPr>
          <w:lang w:eastAsia="en-AU"/>
        </w:rPr>
      </w:pPr>
      <w:r w:rsidRPr="002A1FEA">
        <w:rPr>
          <w:lang w:eastAsia="en-AU"/>
        </w:rPr>
        <w:t xml:space="preserve">Best </w:t>
      </w:r>
      <w:r w:rsidR="00895DA6">
        <w:rPr>
          <w:lang w:eastAsia="en-AU"/>
        </w:rPr>
        <w:t>p</w:t>
      </w:r>
      <w:r w:rsidRPr="002A1FEA">
        <w:rPr>
          <w:lang w:eastAsia="en-AU"/>
        </w:rPr>
        <w:t>ractice 1: Deliver high-quality customer experiences</w:t>
      </w:r>
    </w:p>
    <w:p w:rsidR="00A1419F" w:rsidRDefault="00A1419F" w:rsidP="002A1FEA">
      <w:pPr>
        <w:pStyle w:val="BodyText"/>
        <w:rPr>
          <w:lang w:eastAsia="en-AU"/>
        </w:rPr>
      </w:pPr>
      <w:r>
        <w:rPr>
          <w:lang w:eastAsia="en-AU"/>
        </w:rPr>
        <w:t>Citizen experience, access and engagement with</w:t>
      </w:r>
      <w:r w:rsidR="002A1FEA">
        <w:rPr>
          <w:lang w:eastAsia="en-AU"/>
        </w:rPr>
        <w:t xml:space="preserve"> </w:t>
      </w:r>
      <w:r>
        <w:rPr>
          <w:lang w:eastAsia="en-AU"/>
        </w:rPr>
        <w:t>digital services is a key determinant of trust in</w:t>
      </w:r>
      <w:r w:rsidR="002A1FEA">
        <w:rPr>
          <w:lang w:eastAsia="en-AU"/>
        </w:rPr>
        <w:t xml:space="preserve"> </w:t>
      </w:r>
      <w:r>
        <w:rPr>
          <w:lang w:eastAsia="en-AU"/>
        </w:rPr>
        <w:t>government. For example, 83% of Australians and</w:t>
      </w:r>
      <w:r w:rsidR="002A1FEA">
        <w:rPr>
          <w:lang w:eastAsia="en-AU"/>
        </w:rPr>
        <w:t xml:space="preserve"> </w:t>
      </w:r>
      <w:r>
        <w:rPr>
          <w:lang w:eastAsia="en-AU"/>
        </w:rPr>
        <w:t>New Zealanders say that good customer experiences</w:t>
      </w:r>
      <w:r w:rsidR="002A1FEA">
        <w:rPr>
          <w:lang w:eastAsia="en-AU"/>
        </w:rPr>
        <w:t xml:space="preserve"> </w:t>
      </w:r>
      <w:r>
        <w:rPr>
          <w:lang w:eastAsia="en-AU"/>
        </w:rPr>
        <w:t>with digital government services increases trust in</w:t>
      </w:r>
      <w:r w:rsidR="002A1FEA">
        <w:rPr>
          <w:lang w:eastAsia="en-AU"/>
        </w:rPr>
        <w:t xml:space="preserve"> </w:t>
      </w:r>
      <w:r>
        <w:rPr>
          <w:lang w:eastAsia="en-AU"/>
        </w:rPr>
        <w:t>government and 87% say that a poor experience</w:t>
      </w:r>
      <w:r w:rsidR="002A1FEA">
        <w:rPr>
          <w:lang w:eastAsia="en-AU"/>
        </w:rPr>
        <w:t xml:space="preserve"> </w:t>
      </w:r>
      <w:r>
        <w:rPr>
          <w:lang w:eastAsia="en-AU"/>
        </w:rPr>
        <w:t>reduces it (BCG-Salesforce, 2019); and 65% of</w:t>
      </w:r>
      <w:r w:rsidR="002A1FEA">
        <w:rPr>
          <w:lang w:eastAsia="en-AU"/>
        </w:rPr>
        <w:t xml:space="preserve"> </w:t>
      </w:r>
      <w:r>
        <w:rPr>
          <w:lang w:eastAsia="en-AU"/>
        </w:rPr>
        <w:t>citizens believe that their most recent online transaction</w:t>
      </w:r>
      <w:r w:rsidR="002A1FEA">
        <w:rPr>
          <w:lang w:eastAsia="en-AU"/>
        </w:rPr>
        <w:t xml:space="preserve"> </w:t>
      </w:r>
      <w:r>
        <w:rPr>
          <w:lang w:eastAsia="en-AU"/>
        </w:rPr>
        <w:t>with government impacted their level of trust</w:t>
      </w:r>
      <w:r w:rsidR="002A1FEA">
        <w:rPr>
          <w:lang w:eastAsia="en-AU"/>
        </w:rPr>
        <w:t xml:space="preserve"> </w:t>
      </w:r>
      <w:r>
        <w:rPr>
          <w:lang w:eastAsia="en-AU"/>
        </w:rPr>
        <w:t>in government to deliver services in their best interest.</w:t>
      </w:r>
    </w:p>
    <w:p w:rsidR="00A1419F" w:rsidRDefault="00A1419F" w:rsidP="002A1FEA">
      <w:pPr>
        <w:pStyle w:val="BodyText"/>
      </w:pPr>
      <w:r w:rsidRPr="002A1FEA">
        <w:t>People also want to be engaged. For example,</w:t>
      </w:r>
      <w:r w:rsidR="002A1FEA" w:rsidRPr="002A1FEA">
        <w:t xml:space="preserve"> </w:t>
      </w:r>
      <w:r w:rsidRPr="002A1FEA">
        <w:t>70% of citizens want to engage and contribute to</w:t>
      </w:r>
      <w:r w:rsidR="002A1FEA" w:rsidRPr="002A1FEA">
        <w:t xml:space="preserve"> </w:t>
      </w:r>
      <w:r w:rsidRPr="002A1FEA">
        <w:t>service development, 46% report higher trust in</w:t>
      </w:r>
      <w:r w:rsidR="002A1FEA" w:rsidRPr="002A1FEA">
        <w:t xml:space="preserve"> </w:t>
      </w:r>
      <w:r w:rsidRPr="002A1FEA">
        <w:t>government if they are able to provide direct</w:t>
      </w:r>
      <w:r w:rsidR="002A1FEA" w:rsidRPr="002A1FEA">
        <w:t xml:space="preserve"> </w:t>
      </w:r>
      <w:r w:rsidRPr="002A1FEA">
        <w:t>feedback, and 62% indicate a strong sense of trust if</w:t>
      </w:r>
      <w:r w:rsidR="002A1FEA" w:rsidRPr="002A1FEA">
        <w:t xml:space="preserve"> </w:t>
      </w:r>
      <w:r w:rsidRPr="002A1FEA">
        <w:t>that feedback is actioned (PwC, 2022).</w:t>
      </w:r>
    </w:p>
    <w:p w:rsidR="002A1FEA" w:rsidRPr="002A1FEA" w:rsidRDefault="00895DA6" w:rsidP="00895DA6">
      <w:pPr>
        <w:pStyle w:val="Heading5"/>
        <w:rPr>
          <w:lang w:eastAsia="en-AU"/>
        </w:rPr>
      </w:pPr>
      <w:r>
        <w:rPr>
          <w:lang w:eastAsia="en-AU"/>
        </w:rPr>
        <w:t>Best p</w:t>
      </w:r>
      <w:r w:rsidR="002A1FEA" w:rsidRPr="002A1FEA">
        <w:rPr>
          <w:lang w:eastAsia="en-AU"/>
        </w:rPr>
        <w:t xml:space="preserve">ractice </w:t>
      </w:r>
      <w:r w:rsidR="002A1FEA">
        <w:rPr>
          <w:lang w:eastAsia="en-AU"/>
        </w:rPr>
        <w:t>2</w:t>
      </w:r>
      <w:r w:rsidR="002A1FEA" w:rsidRPr="002A1FEA">
        <w:rPr>
          <w:lang w:eastAsia="en-AU"/>
        </w:rPr>
        <w:t xml:space="preserve">: </w:t>
      </w:r>
      <w:r w:rsidR="002A1FEA">
        <w:rPr>
          <w:lang w:eastAsia="en-AU"/>
        </w:rPr>
        <w:t>Transparency and security of data</w:t>
      </w:r>
    </w:p>
    <w:p w:rsidR="002A1FEA" w:rsidRPr="002A1FEA" w:rsidRDefault="00A1419F" w:rsidP="002A1FEA">
      <w:pPr>
        <w:pStyle w:val="BodyText"/>
      </w:pPr>
      <w:r w:rsidRPr="002A1FEA">
        <w:t>Transparency also enhances trust in government. For</w:t>
      </w:r>
      <w:r w:rsidR="002A1FEA" w:rsidRPr="002A1FEA">
        <w:t xml:space="preserve"> </w:t>
      </w:r>
      <w:r w:rsidRPr="002A1FEA">
        <w:t>example, some governments such as Estonia and</w:t>
      </w:r>
      <w:r w:rsidR="002A1FEA">
        <w:t xml:space="preserve"> </w:t>
      </w:r>
      <w:r w:rsidRPr="002A1FEA">
        <w:t>Denmark allow their citizens to see the personal</w:t>
      </w:r>
      <w:r w:rsidR="002A1FEA" w:rsidRPr="002A1FEA">
        <w:t xml:space="preserve"> </w:t>
      </w:r>
      <w:r w:rsidRPr="002A1FEA">
        <w:t>data held about them via an online account, to make</w:t>
      </w:r>
      <w:r w:rsidR="002A1FEA" w:rsidRPr="002A1FEA">
        <w:t xml:space="preserve"> </w:t>
      </w:r>
      <w:r w:rsidRPr="002A1FEA">
        <w:t>or request corrections to that data, and even see a</w:t>
      </w:r>
      <w:r w:rsidR="002A1FEA" w:rsidRPr="002A1FEA">
        <w:t xml:space="preserve"> </w:t>
      </w:r>
      <w:r w:rsidRPr="002A1FEA">
        <w:t>log or history of staff and departments that have</w:t>
      </w:r>
      <w:r w:rsidR="002A1FEA" w:rsidRPr="002A1FEA">
        <w:t xml:space="preserve"> </w:t>
      </w:r>
      <w:r w:rsidRPr="002A1FEA">
        <w:t>accessed or used that data. If they believe their data</w:t>
      </w:r>
      <w:r w:rsidR="002A1FEA" w:rsidRPr="002A1FEA">
        <w:t xml:space="preserve"> </w:t>
      </w:r>
      <w:r w:rsidRPr="002A1FEA">
        <w:t>has been accessed or used inappropriately, they can</w:t>
      </w:r>
      <w:r w:rsidR="002A1FEA" w:rsidRPr="002A1FEA">
        <w:t xml:space="preserve"> </w:t>
      </w:r>
      <w:r w:rsidRPr="002A1FEA">
        <w:t>make enquiries and lodge complaints.</w:t>
      </w:r>
    </w:p>
    <w:p w:rsidR="00A1419F" w:rsidRPr="00895DA6" w:rsidRDefault="00A1419F" w:rsidP="00895DA6">
      <w:pPr>
        <w:pStyle w:val="BodyText"/>
      </w:pPr>
      <w:r w:rsidRPr="002A1FEA">
        <w:t>Citizens say that this level of transparency increases</w:t>
      </w:r>
      <w:r w:rsidR="002A1FEA" w:rsidRPr="002A1FEA">
        <w:t xml:space="preserve"> </w:t>
      </w:r>
      <w:r w:rsidRPr="002A1FEA">
        <w:t>the trust that government has accurate or up-to-date</w:t>
      </w:r>
      <w:r w:rsidR="002A1FEA" w:rsidRPr="002A1FEA">
        <w:t xml:space="preserve"> </w:t>
      </w:r>
      <w:r w:rsidRPr="002A1FEA">
        <w:t>information and that their data will not be used</w:t>
      </w:r>
      <w:r w:rsidR="002A1FEA" w:rsidRPr="002A1FEA">
        <w:t xml:space="preserve"> </w:t>
      </w:r>
      <w:r w:rsidRPr="002A1FEA">
        <w:t>inappropriately. Poor security and unauthorised</w:t>
      </w:r>
      <w:r w:rsidR="002A1FEA" w:rsidRPr="002A1FEA">
        <w:t xml:space="preserve"> </w:t>
      </w:r>
      <w:r w:rsidRPr="002A1FEA">
        <w:t>government use are the greatest areas of concern for</w:t>
      </w:r>
      <w:r w:rsidR="002A1FEA" w:rsidRPr="002A1FEA">
        <w:t xml:space="preserve"> </w:t>
      </w:r>
      <w:r w:rsidRPr="002A1FEA">
        <w:t>citizens – 60% and 55% of citizen names these as</w:t>
      </w:r>
      <w:r w:rsidR="002A1FEA" w:rsidRPr="002A1FEA">
        <w:t xml:space="preserve"> </w:t>
      </w:r>
      <w:r w:rsidRPr="002A1FEA">
        <w:t>the largest concerns, respectively – yet 58% of</w:t>
      </w:r>
      <w:r w:rsidR="002A1FEA" w:rsidRPr="002A1FEA">
        <w:t xml:space="preserve"> </w:t>
      </w:r>
      <w:r w:rsidRPr="002A1FEA">
        <w:t>citizens are willing to private personal data to the</w:t>
      </w:r>
      <w:r w:rsidR="002A1FEA" w:rsidRPr="002A1FEA">
        <w:t xml:space="preserve"> </w:t>
      </w:r>
      <w:r w:rsidRPr="002A1FEA">
        <w:t>government for both individual and citizen benefit</w:t>
      </w:r>
    </w:p>
    <w:p w:rsidR="002A1FEA" w:rsidRPr="002A1FEA" w:rsidRDefault="002A1FEA" w:rsidP="00895DA6">
      <w:pPr>
        <w:pStyle w:val="Heading5"/>
        <w:rPr>
          <w:lang w:eastAsia="en-AU"/>
        </w:rPr>
      </w:pPr>
      <w:r w:rsidRPr="002A1FEA">
        <w:rPr>
          <w:lang w:eastAsia="en-AU"/>
        </w:rPr>
        <w:t xml:space="preserve">Best Practice </w:t>
      </w:r>
      <w:r>
        <w:rPr>
          <w:lang w:eastAsia="en-AU"/>
        </w:rPr>
        <w:t>3</w:t>
      </w:r>
      <w:r w:rsidRPr="002A1FEA">
        <w:rPr>
          <w:lang w:eastAsia="en-AU"/>
        </w:rPr>
        <w:t xml:space="preserve">: </w:t>
      </w:r>
      <w:r>
        <w:rPr>
          <w:lang w:eastAsia="en-AU"/>
        </w:rPr>
        <w:t>Regulations and digital legislation</w:t>
      </w:r>
    </w:p>
    <w:p w:rsidR="00A1419F" w:rsidRPr="00895DA6" w:rsidRDefault="00A1419F" w:rsidP="00895DA6">
      <w:pPr>
        <w:pStyle w:val="BodyText"/>
      </w:pPr>
      <w:r w:rsidRPr="00895DA6">
        <w:t>Clear digital policy and regulation are often required</w:t>
      </w:r>
      <w:r w:rsidR="00895DA6" w:rsidRPr="00895DA6">
        <w:t xml:space="preserve"> </w:t>
      </w:r>
      <w:r w:rsidRPr="00895DA6">
        <w:t>to drive digital uptake and govern how citizen data is</w:t>
      </w:r>
      <w:r w:rsidR="00895DA6" w:rsidRPr="00895DA6">
        <w:t xml:space="preserve"> </w:t>
      </w:r>
      <w:r w:rsidRPr="00895DA6">
        <w:t>used and stored. For example, in Estonia, it is illegal</w:t>
      </w:r>
      <w:r w:rsidR="00895DA6" w:rsidRPr="00895DA6">
        <w:t xml:space="preserve"> </w:t>
      </w:r>
      <w:r w:rsidRPr="00895DA6">
        <w:t>for government agencies to collect data from citizens</w:t>
      </w:r>
      <w:r w:rsidR="00895DA6" w:rsidRPr="00895DA6">
        <w:t xml:space="preserve"> </w:t>
      </w:r>
      <w:r w:rsidRPr="00895DA6">
        <w:t>that is already held by another government agency.</w:t>
      </w:r>
    </w:p>
    <w:p w:rsidR="00A1419F" w:rsidRDefault="00A1419F" w:rsidP="00895DA6">
      <w:pPr>
        <w:pStyle w:val="BodyText"/>
      </w:pPr>
      <w:r w:rsidRPr="00895DA6">
        <w:t>Denmark’s ‘no more paper forms and letters’ strategy</w:t>
      </w:r>
      <w:r w:rsidR="00895DA6" w:rsidRPr="00895DA6">
        <w:t xml:space="preserve"> </w:t>
      </w:r>
      <w:r w:rsidRPr="00895DA6">
        <w:t>included a digital-by-default law that mandated</w:t>
      </w:r>
      <w:r w:rsidR="00895DA6" w:rsidRPr="00895DA6">
        <w:t xml:space="preserve"> </w:t>
      </w:r>
      <w:r w:rsidRPr="00895DA6">
        <w:t>the use of digital government services and a digital</w:t>
      </w:r>
      <w:r w:rsidR="00895DA6" w:rsidRPr="00895DA6">
        <w:t xml:space="preserve"> </w:t>
      </w:r>
      <w:r w:rsidRPr="00895DA6">
        <w:t>mailbox for all government correspondence. The US</w:t>
      </w:r>
      <w:r w:rsidR="00895DA6" w:rsidRPr="00895DA6">
        <w:t xml:space="preserve"> </w:t>
      </w:r>
      <w:r w:rsidRPr="00895DA6">
        <w:t>federal government has released a portfolio of legislation</w:t>
      </w:r>
      <w:r w:rsidR="00895DA6" w:rsidRPr="00895DA6">
        <w:t xml:space="preserve"> </w:t>
      </w:r>
      <w:r w:rsidRPr="00895DA6">
        <w:t>and executive orders, policies, guidance and</w:t>
      </w:r>
      <w:r w:rsidR="00895DA6" w:rsidRPr="00895DA6">
        <w:t xml:space="preserve"> </w:t>
      </w:r>
      <w:r w:rsidRPr="00895DA6">
        <w:t>enablement tools to drive digitization.</w:t>
      </w:r>
    </w:p>
    <w:p w:rsidR="00895DA6" w:rsidRDefault="00895DA6" w:rsidP="00194BAF">
      <w:pPr>
        <w:pStyle w:val="Heading3"/>
      </w:pPr>
      <w:r>
        <w:lastRenderedPageBreak/>
        <w:t>3.2. Focus area 2: Intuitive, tailored and seamless services</w:t>
      </w:r>
    </w:p>
    <w:p w:rsidR="00A1419F" w:rsidRDefault="00A1419F" w:rsidP="00895DA6">
      <w:pPr>
        <w:pStyle w:val="BodyText"/>
        <w:rPr>
          <w:lang w:eastAsia="en-AU"/>
        </w:rPr>
      </w:pPr>
      <w:r>
        <w:rPr>
          <w:lang w:eastAsia="en-AU"/>
        </w:rPr>
        <w:t>Citizens have high expectations for digital government</w:t>
      </w:r>
      <w:r w:rsidR="00895DA6">
        <w:rPr>
          <w:lang w:eastAsia="en-AU"/>
        </w:rPr>
        <w:t xml:space="preserve"> </w:t>
      </w:r>
      <w:r>
        <w:rPr>
          <w:lang w:eastAsia="en-AU"/>
        </w:rPr>
        <w:t>services. A recent study found that 93% of</w:t>
      </w:r>
      <w:r w:rsidR="00895DA6">
        <w:rPr>
          <w:lang w:eastAsia="en-AU"/>
        </w:rPr>
        <w:t xml:space="preserve"> </w:t>
      </w:r>
      <w:r>
        <w:rPr>
          <w:lang w:eastAsia="en-AU"/>
        </w:rPr>
        <w:t>Australians expect digital government services to be</w:t>
      </w:r>
      <w:r w:rsidR="00895DA6">
        <w:rPr>
          <w:lang w:eastAsia="en-AU"/>
        </w:rPr>
        <w:t xml:space="preserve"> </w:t>
      </w:r>
      <w:r>
        <w:rPr>
          <w:lang w:eastAsia="en-AU"/>
        </w:rPr>
        <w:t>as good, or better than, the best customer experiences</w:t>
      </w:r>
      <w:r w:rsidR="00895DA6">
        <w:rPr>
          <w:lang w:eastAsia="en-AU"/>
        </w:rPr>
        <w:t xml:space="preserve"> </w:t>
      </w:r>
      <w:r>
        <w:rPr>
          <w:lang w:eastAsia="en-AU"/>
        </w:rPr>
        <w:t>delivered by global digital leaders in both the</w:t>
      </w:r>
      <w:r w:rsidR="00895DA6">
        <w:rPr>
          <w:lang w:eastAsia="en-AU"/>
        </w:rPr>
        <w:t xml:space="preserve"> </w:t>
      </w:r>
      <w:r>
        <w:rPr>
          <w:lang w:eastAsia="en-AU"/>
        </w:rPr>
        <w:t>public and private sectors (BCG, 2022). However,</w:t>
      </w:r>
      <w:r w:rsidR="00895DA6">
        <w:rPr>
          <w:lang w:eastAsia="en-AU"/>
        </w:rPr>
        <w:t xml:space="preserve"> </w:t>
      </w:r>
      <w:r>
        <w:rPr>
          <w:lang w:eastAsia="en-AU"/>
        </w:rPr>
        <w:t>more than half of Australians (57%) experienced a</w:t>
      </w:r>
      <w:r w:rsidR="00895DA6">
        <w:rPr>
          <w:lang w:eastAsia="en-AU"/>
        </w:rPr>
        <w:t xml:space="preserve"> </w:t>
      </w:r>
      <w:r>
        <w:rPr>
          <w:lang w:eastAsia="en-AU"/>
        </w:rPr>
        <w:t>problem with their most recent digital government</w:t>
      </w:r>
      <w:r w:rsidR="00895DA6">
        <w:rPr>
          <w:lang w:eastAsia="en-AU"/>
        </w:rPr>
        <w:t xml:space="preserve"> </w:t>
      </w:r>
      <w:r>
        <w:rPr>
          <w:lang w:eastAsia="en-AU"/>
        </w:rPr>
        <w:t>interaction.</w:t>
      </w:r>
    </w:p>
    <w:p w:rsidR="00A1419F" w:rsidRDefault="00A1419F" w:rsidP="00895DA6">
      <w:pPr>
        <w:pStyle w:val="BodyText"/>
        <w:rPr>
          <w:lang w:eastAsia="en-AU"/>
        </w:rPr>
      </w:pPr>
      <w:r>
        <w:rPr>
          <w:lang w:eastAsia="en-AU"/>
        </w:rPr>
        <w:t>The most common issues relate to basic usability</w:t>
      </w:r>
      <w:r w:rsidR="00895DA6">
        <w:rPr>
          <w:lang w:eastAsia="en-AU"/>
        </w:rPr>
        <w:t xml:space="preserve"> </w:t>
      </w:r>
      <w:r>
        <w:rPr>
          <w:lang w:eastAsia="en-AU"/>
        </w:rPr>
        <w:t>and design issues including the length of the</w:t>
      </w:r>
      <w:r w:rsidR="00895DA6">
        <w:rPr>
          <w:lang w:eastAsia="en-AU"/>
        </w:rPr>
        <w:t xml:space="preserve"> </w:t>
      </w:r>
      <w:r>
        <w:rPr>
          <w:lang w:eastAsia="en-AU"/>
        </w:rPr>
        <w:t>process, username/password issues, technical</w:t>
      </w:r>
      <w:r w:rsidR="00895DA6">
        <w:rPr>
          <w:lang w:eastAsia="en-AU"/>
        </w:rPr>
        <w:t xml:space="preserve"> </w:t>
      </w:r>
      <w:r>
        <w:rPr>
          <w:lang w:eastAsia="en-AU"/>
        </w:rPr>
        <w:t>difficulties, and inability to find what they needed.</w:t>
      </w:r>
    </w:p>
    <w:p w:rsidR="00A1419F" w:rsidRDefault="00A1419F" w:rsidP="00895DA6">
      <w:pPr>
        <w:pStyle w:val="BodyText"/>
        <w:rPr>
          <w:lang w:eastAsia="en-AU"/>
        </w:rPr>
      </w:pPr>
      <w:r>
        <w:rPr>
          <w:lang w:eastAsia="en-AU"/>
        </w:rPr>
        <w:t>Some governments have made significant progress</w:t>
      </w:r>
      <w:r w:rsidR="00895DA6">
        <w:rPr>
          <w:lang w:eastAsia="en-AU"/>
        </w:rPr>
        <w:t xml:space="preserve"> </w:t>
      </w:r>
      <w:r>
        <w:rPr>
          <w:lang w:eastAsia="en-AU"/>
        </w:rPr>
        <w:t>in digital customer experience that serves as exemplars</w:t>
      </w:r>
      <w:r w:rsidR="00895DA6">
        <w:rPr>
          <w:lang w:eastAsia="en-AU"/>
        </w:rPr>
        <w:t xml:space="preserve"> </w:t>
      </w:r>
      <w:r>
        <w:rPr>
          <w:lang w:eastAsia="en-AU"/>
        </w:rPr>
        <w:t>for Australia to incorporate into the future</w:t>
      </w:r>
      <w:r w:rsidR="00895DA6">
        <w:rPr>
          <w:lang w:eastAsia="en-AU"/>
        </w:rPr>
        <w:t xml:space="preserve"> </w:t>
      </w:r>
      <w:r>
        <w:rPr>
          <w:lang w:eastAsia="en-AU"/>
        </w:rPr>
        <w:t>myGov design (see Exhibit 2a).</w:t>
      </w:r>
    </w:p>
    <w:p w:rsidR="00895DA6" w:rsidRDefault="00895DA6" w:rsidP="00194BAF">
      <w:pPr>
        <w:pStyle w:val="Heading4"/>
        <w:rPr>
          <w:lang w:eastAsia="en-AU"/>
        </w:rPr>
      </w:pPr>
      <w:r>
        <w:rPr>
          <w:lang w:eastAsia="en-AU"/>
        </w:rPr>
        <w:t>Exhibit 2a: Intuitive and tailored – best practices and examplars</w:t>
      </w:r>
    </w:p>
    <w:p w:rsidR="00EF73B9" w:rsidRDefault="00EF73B9" w:rsidP="00EF73B9">
      <w:pPr>
        <w:pStyle w:val="Heading5"/>
        <w:rPr>
          <w:lang w:eastAsia="en-AU"/>
        </w:rPr>
      </w:pPr>
      <w:r>
        <w:rPr>
          <w:lang w:eastAsia="en-AU"/>
        </w:rPr>
        <w:t>Best practices</w:t>
      </w:r>
    </w:p>
    <w:p w:rsidR="00EF73B9" w:rsidRDefault="00EF73B9" w:rsidP="00EF73B9">
      <w:pPr>
        <w:pStyle w:val="BodyText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A consistent look and feel is critical to create a cohesive user experience and drive internal efficiencies and reuse oppts</w:t>
      </w:r>
    </w:p>
    <w:p w:rsidR="00EF73B9" w:rsidRDefault="00EF73B9" w:rsidP="00EF73B9">
      <w:pPr>
        <w:pStyle w:val="BodyText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Adherence to a design system with an easy-to-integrate code base</w:t>
      </w:r>
    </w:p>
    <w:p w:rsidR="00EF73B9" w:rsidRDefault="00EF73B9" w:rsidP="00EF73B9">
      <w:pPr>
        <w:pStyle w:val="BodyText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Common usability pain points typically relate to service design complexity and the duration of a transaction</w:t>
      </w:r>
    </w:p>
    <w:p w:rsidR="00EF73B9" w:rsidRDefault="00EF73B9" w:rsidP="00EF73B9">
      <w:pPr>
        <w:pStyle w:val="BodyText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Vast majority of Australians are comfortable with governments providing some level of tailoring and proactivity in services</w:t>
      </w:r>
    </w:p>
    <w:p w:rsidR="00EF73B9" w:rsidRDefault="00EF73B9" w:rsidP="00EF73B9">
      <w:pPr>
        <w:pStyle w:val="BodyText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 xml:space="preserve">Increasing tailored services requires greater data sharing and collaboration across agencies </w:t>
      </w:r>
    </w:p>
    <w:p w:rsidR="00EF73B9" w:rsidRDefault="00EF73B9" w:rsidP="00EF73B9">
      <w:pPr>
        <w:pStyle w:val="Heading5"/>
        <w:rPr>
          <w:lang w:eastAsia="en-AU"/>
        </w:rPr>
      </w:pPr>
      <w:r>
        <w:rPr>
          <w:lang w:eastAsia="en-AU"/>
        </w:rPr>
        <w:t>Examplars</w:t>
      </w:r>
    </w:p>
    <w:p w:rsidR="00EF73B9" w:rsidRDefault="00EF73B9" w:rsidP="00EF73B9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GOV.UK</w:t>
      </w:r>
    </w:p>
    <w:p w:rsidR="00EF73B9" w:rsidRDefault="00EF73B9" w:rsidP="00EF73B9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Services NSW</w:t>
      </w:r>
    </w:p>
    <w:p w:rsidR="00EF73B9" w:rsidRDefault="00EF73B9" w:rsidP="00EF73B9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Sing</w:t>
      </w:r>
      <w:r>
        <w:rPr>
          <w:lang w:eastAsia="en-AU"/>
        </w:rPr>
        <w:t>p</w:t>
      </w:r>
      <w:r>
        <w:rPr>
          <w:lang w:eastAsia="en-AU"/>
        </w:rPr>
        <w:t>ass/LifeSG</w:t>
      </w:r>
    </w:p>
    <w:p w:rsidR="00EF73B9" w:rsidRDefault="00EF73B9" w:rsidP="00EF73B9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BCG Digital Government Citizen Survey 2022</w:t>
      </w:r>
    </w:p>
    <w:p w:rsidR="00EF73B9" w:rsidRDefault="00EF73B9" w:rsidP="00EF73B9">
      <w:pPr>
        <w:pStyle w:val="ListParagraph"/>
        <w:numPr>
          <w:ilvl w:val="1"/>
          <w:numId w:val="25"/>
        </w:numPr>
        <w:rPr>
          <w:lang w:eastAsia="en-AU"/>
        </w:rPr>
      </w:pPr>
      <w:r>
        <w:rPr>
          <w:lang w:eastAsia="en-AU"/>
        </w:rPr>
        <w:t>US bank</w:t>
      </w:r>
    </w:p>
    <w:p w:rsidR="00EF73B9" w:rsidRDefault="00EF73B9" w:rsidP="00EF73B9">
      <w:pPr>
        <w:pStyle w:val="ListParagraph"/>
        <w:numPr>
          <w:ilvl w:val="1"/>
          <w:numId w:val="25"/>
        </w:numPr>
        <w:rPr>
          <w:lang w:eastAsia="en-AU"/>
        </w:rPr>
      </w:pPr>
      <w:r>
        <w:rPr>
          <w:lang w:eastAsia="en-AU"/>
        </w:rPr>
        <w:t>APAC bank</w:t>
      </w:r>
    </w:p>
    <w:p w:rsidR="00EF73B9" w:rsidRDefault="00EF73B9" w:rsidP="00EF73B9">
      <w:pPr>
        <w:rPr>
          <w:lang w:eastAsia="en-AU"/>
        </w:rPr>
      </w:pPr>
    </w:p>
    <w:p w:rsidR="00EF73B9" w:rsidRPr="004D5147" w:rsidRDefault="00EF73B9" w:rsidP="00EF73B9">
      <w:pPr>
        <w:rPr>
          <w:i/>
          <w:lang w:eastAsia="en-AU"/>
        </w:rPr>
      </w:pPr>
      <w:r w:rsidRPr="004D5147">
        <w:rPr>
          <w:i/>
          <w:lang w:eastAsia="en-AU"/>
        </w:rPr>
        <w:t>Source: BCG research and analysis</w:t>
      </w:r>
    </w:p>
    <w:p w:rsidR="00EF73B9" w:rsidRPr="00EF73B9" w:rsidRDefault="00EF73B9" w:rsidP="00EF73B9">
      <w:pPr>
        <w:rPr>
          <w:lang w:eastAsia="en-AU"/>
        </w:rPr>
      </w:pPr>
    </w:p>
    <w:p w:rsidR="00A1419F" w:rsidRPr="00895DA6" w:rsidRDefault="00895DA6" w:rsidP="00194BAF">
      <w:pPr>
        <w:pStyle w:val="Heading5"/>
      </w:pPr>
      <w:r w:rsidRPr="00895DA6">
        <w:t xml:space="preserve">Best practice 1: </w:t>
      </w:r>
      <w:r>
        <w:t>A</w:t>
      </w:r>
      <w:r w:rsidRPr="00895DA6">
        <w:t>pply a consistent look and feel</w:t>
      </w:r>
    </w:p>
    <w:p w:rsidR="00A1419F" w:rsidRPr="00895DA6" w:rsidRDefault="00A1419F" w:rsidP="00895DA6">
      <w:pPr>
        <w:pStyle w:val="BodyText"/>
      </w:pPr>
      <w:r w:rsidRPr="00895DA6">
        <w:t>Citizens expect a consistent look and feel across</w:t>
      </w:r>
      <w:r w:rsidR="00895DA6">
        <w:t xml:space="preserve"> </w:t>
      </w:r>
      <w:r w:rsidRPr="00895DA6">
        <w:t>services. For example, GOV.UK delivers a consistent</w:t>
      </w:r>
      <w:r w:rsidR="00895DA6">
        <w:t xml:space="preserve"> </w:t>
      </w:r>
      <w:r w:rsidRPr="00895DA6">
        <w:t>experience and a similar look and feels across all</w:t>
      </w:r>
      <w:r w:rsidR="00895DA6">
        <w:t xml:space="preserve"> </w:t>
      </w:r>
      <w:r w:rsidRPr="00895DA6">
        <w:t>web pages. The UK was one of the first governments</w:t>
      </w:r>
      <w:r w:rsidR="00895DA6">
        <w:t xml:space="preserve"> </w:t>
      </w:r>
      <w:r w:rsidRPr="00895DA6">
        <w:t>globally to house navigational services in a</w:t>
      </w:r>
      <w:r w:rsidR="00895DA6">
        <w:t xml:space="preserve"> </w:t>
      </w:r>
      <w:r w:rsidRPr="00895DA6">
        <w:t>centralised location, giving citizens the impression of</w:t>
      </w:r>
      <w:r w:rsidR="00895DA6">
        <w:t xml:space="preserve"> </w:t>
      </w:r>
      <w:r w:rsidRPr="00895DA6">
        <w:t>interacting ‘with government’ instead of having a</w:t>
      </w:r>
      <w:r w:rsidR="00895DA6">
        <w:t xml:space="preserve"> </w:t>
      </w:r>
      <w:r w:rsidRPr="00895DA6">
        <w:t>disparate experience with each individual agency or</w:t>
      </w:r>
      <w:r w:rsidR="00895DA6">
        <w:t xml:space="preserve"> </w:t>
      </w:r>
      <w:r w:rsidRPr="00895DA6">
        <w:t>department.</w:t>
      </w:r>
    </w:p>
    <w:p w:rsidR="00A1419F" w:rsidRPr="00895DA6" w:rsidRDefault="00895DA6" w:rsidP="00194BAF">
      <w:pPr>
        <w:pStyle w:val="Heading5"/>
      </w:pPr>
      <w:r w:rsidRPr="00895DA6">
        <w:t>Best practice 2:</w:t>
      </w:r>
      <w:r>
        <w:t xml:space="preserve"> A</w:t>
      </w:r>
      <w:r w:rsidRPr="00895DA6">
        <w:t>dhere to a design system</w:t>
      </w:r>
    </w:p>
    <w:p w:rsidR="00A1419F" w:rsidRPr="00895DA6" w:rsidRDefault="00A1419F" w:rsidP="00895DA6">
      <w:pPr>
        <w:pStyle w:val="BodyText"/>
      </w:pPr>
      <w:r w:rsidRPr="00895DA6">
        <w:t>To simplify design, adherence to a design system is</w:t>
      </w:r>
      <w:r w:rsidR="00895DA6">
        <w:t xml:space="preserve"> </w:t>
      </w:r>
      <w:r w:rsidRPr="00895DA6">
        <w:t xml:space="preserve">important. For example, MyService Canada </w:t>
      </w:r>
      <w:r w:rsidR="00895DA6">
        <w:t xml:space="preserve"> a</w:t>
      </w:r>
      <w:r w:rsidRPr="00895DA6">
        <w:t>chieves</w:t>
      </w:r>
      <w:r w:rsidR="00895DA6">
        <w:t xml:space="preserve"> </w:t>
      </w:r>
      <w:r w:rsidRPr="00895DA6">
        <w:t>a consistent look and feel with a design system managed</w:t>
      </w:r>
      <w:r w:rsidR="00895DA6">
        <w:t xml:space="preserve"> </w:t>
      </w:r>
      <w:r w:rsidRPr="00895DA6">
        <w:t xml:space="preserve">by a multi-disciplinary team involved </w:t>
      </w:r>
      <w:r w:rsidRPr="00895DA6">
        <w:lastRenderedPageBreak/>
        <w:t>in web</w:t>
      </w:r>
      <w:r w:rsidR="00895DA6">
        <w:t xml:space="preserve"> </w:t>
      </w:r>
      <w:r w:rsidRPr="00895DA6">
        <w:t>development. The MyService Canada design system</w:t>
      </w:r>
      <w:r w:rsidR="00895DA6">
        <w:t xml:space="preserve"> </w:t>
      </w:r>
      <w:r w:rsidRPr="00895DA6">
        <w:t>leverages the open-source community to continually</w:t>
      </w:r>
      <w:r w:rsidR="00895DA6">
        <w:t xml:space="preserve"> </w:t>
      </w:r>
      <w:r w:rsidRPr="00895DA6">
        <w:t>develop and improve its service offerings.</w:t>
      </w:r>
    </w:p>
    <w:p w:rsidR="00A1419F" w:rsidRPr="00895DA6" w:rsidRDefault="00895DA6" w:rsidP="00194BAF">
      <w:pPr>
        <w:pStyle w:val="Heading5"/>
      </w:pPr>
      <w:r w:rsidRPr="00895DA6">
        <w:t>Best practice 3:</w:t>
      </w:r>
      <w:r>
        <w:t xml:space="preserve"> R</w:t>
      </w:r>
      <w:r w:rsidRPr="00895DA6">
        <w:t>emove service design complexity</w:t>
      </w:r>
    </w:p>
    <w:p w:rsidR="00A1419F" w:rsidRPr="00895DA6" w:rsidRDefault="00A1419F" w:rsidP="00895DA6">
      <w:pPr>
        <w:pStyle w:val="BodyText"/>
      </w:pPr>
      <w:r w:rsidRPr="00895DA6">
        <w:t>Removing complexity from the service design is</w:t>
      </w:r>
      <w:r w:rsidR="00895DA6">
        <w:t xml:space="preserve"> </w:t>
      </w:r>
      <w:r w:rsidRPr="00895DA6">
        <w:t>important. For example, when a major US bank redesigned</w:t>
      </w:r>
      <w:r w:rsidR="00895DA6">
        <w:t xml:space="preserve"> </w:t>
      </w:r>
      <w:r w:rsidRPr="00895DA6">
        <w:t>its cumbersome online application process, it</w:t>
      </w:r>
      <w:r w:rsidR="00895DA6">
        <w:t xml:space="preserve"> </w:t>
      </w:r>
      <w:r w:rsidRPr="00895DA6">
        <w:t>resulted in a double-digit increase in bank account</w:t>
      </w:r>
      <w:r w:rsidR="00895DA6">
        <w:t xml:space="preserve"> </w:t>
      </w:r>
      <w:r w:rsidRPr="00895DA6">
        <w:t>openings, multi-fold conversion rate increases and</w:t>
      </w:r>
      <w:r w:rsidR="00895DA6">
        <w:t xml:space="preserve"> </w:t>
      </w:r>
      <w:r w:rsidRPr="00895DA6">
        <w:t>an award-winning user experience design.</w:t>
      </w:r>
    </w:p>
    <w:p w:rsidR="00A1419F" w:rsidRPr="00895DA6" w:rsidRDefault="00895DA6" w:rsidP="00194BAF">
      <w:pPr>
        <w:pStyle w:val="Heading5"/>
      </w:pPr>
      <w:r w:rsidRPr="00895DA6">
        <w:t xml:space="preserve">Best practice 4: </w:t>
      </w:r>
      <w:r>
        <w:t>P</w:t>
      </w:r>
      <w:r w:rsidRPr="00895DA6">
        <w:t>rovide tailored services</w:t>
      </w:r>
    </w:p>
    <w:p w:rsidR="00A1419F" w:rsidRPr="00895DA6" w:rsidRDefault="00A1419F" w:rsidP="00895DA6">
      <w:pPr>
        <w:pStyle w:val="BodyText"/>
      </w:pPr>
      <w:r w:rsidRPr="00895DA6">
        <w:t>Most citizens are comfortable with some level of</w:t>
      </w:r>
      <w:r w:rsidR="00895DA6">
        <w:t xml:space="preserve"> </w:t>
      </w:r>
      <w:r w:rsidRPr="00895DA6">
        <w:t>service tailoring and are open to the government proactively</w:t>
      </w:r>
      <w:r w:rsidR="00895DA6">
        <w:t xml:space="preserve"> </w:t>
      </w:r>
      <w:r w:rsidRPr="00895DA6">
        <w:t>offering services and information. For example,</w:t>
      </w:r>
      <w:r w:rsidR="00895DA6">
        <w:t xml:space="preserve"> </w:t>
      </w:r>
      <w:r w:rsidRPr="00895DA6">
        <w:t>73% of Australians are comfortable with tailored</w:t>
      </w:r>
      <w:r w:rsidR="00895DA6">
        <w:t xml:space="preserve"> </w:t>
      </w:r>
      <w:r w:rsidRPr="00895DA6">
        <w:t>solutions, while 84% would like more proactivity in how</w:t>
      </w:r>
      <w:r w:rsidR="00895DA6">
        <w:t xml:space="preserve"> </w:t>
      </w:r>
      <w:r w:rsidRPr="00895DA6">
        <w:t>government provisions digital services. Moreover, 91%</w:t>
      </w:r>
      <w:r w:rsidR="00895DA6">
        <w:t xml:space="preserve"> </w:t>
      </w:r>
      <w:r w:rsidRPr="00895DA6">
        <w:t>of Australians are willing to allow the government to</w:t>
      </w:r>
      <w:r w:rsidR="00895DA6">
        <w:t xml:space="preserve"> </w:t>
      </w:r>
      <w:r w:rsidRPr="00895DA6">
        <w:t>access their personal data to improve the quality of</w:t>
      </w:r>
      <w:r w:rsidR="00895DA6">
        <w:t xml:space="preserve"> </w:t>
      </w:r>
      <w:r w:rsidRPr="00895DA6">
        <w:t>services, such as private health, insurance and tax</w:t>
      </w:r>
      <w:r w:rsidR="00895DA6">
        <w:t xml:space="preserve"> </w:t>
      </w:r>
      <w:r w:rsidRPr="00895DA6">
        <w:t>details. (BCG-Salesforce, 2022)</w:t>
      </w:r>
    </w:p>
    <w:p w:rsidR="00A1419F" w:rsidRPr="00895DA6" w:rsidRDefault="00895DA6" w:rsidP="00194BAF">
      <w:pPr>
        <w:pStyle w:val="Heading5"/>
      </w:pPr>
      <w:r w:rsidRPr="00895DA6">
        <w:t>Best practice 5:</w:t>
      </w:r>
      <w:r>
        <w:t xml:space="preserve"> D</w:t>
      </w:r>
      <w:r w:rsidRPr="00895DA6">
        <w:t>ata sharing and collaboration</w:t>
      </w:r>
    </w:p>
    <w:p w:rsidR="00A1419F" w:rsidRPr="00895DA6" w:rsidRDefault="00A1419F" w:rsidP="00895DA6">
      <w:pPr>
        <w:pStyle w:val="BodyText"/>
      </w:pPr>
      <w:r w:rsidRPr="00895DA6">
        <w:t>Increased tailoring of services for citizens requires data</w:t>
      </w:r>
      <w:r w:rsidR="00895DA6">
        <w:t xml:space="preserve"> </w:t>
      </w:r>
      <w:r w:rsidRPr="00895DA6">
        <w:t>sharing and collaboration across agencies. For example,</w:t>
      </w:r>
      <w:r w:rsidR="00895DA6">
        <w:t xml:space="preserve"> </w:t>
      </w:r>
      <w:r w:rsidRPr="00895DA6">
        <w:t>Singapore's LifeSG app provides integrated</w:t>
      </w:r>
      <w:r w:rsidR="00895DA6">
        <w:t xml:space="preserve"> </w:t>
      </w:r>
      <w:r w:rsidRPr="00895DA6">
        <w:t>services that are tailored to the individual. There are</w:t>
      </w:r>
      <w:r w:rsidR="00895DA6">
        <w:t xml:space="preserve"> </w:t>
      </w:r>
      <w:r w:rsidRPr="00895DA6">
        <w:t>70+ services currently available on the platform, which</w:t>
      </w:r>
      <w:r w:rsidR="00895DA6">
        <w:t xml:space="preserve"> </w:t>
      </w:r>
      <w:r w:rsidRPr="00895DA6">
        <w:t>are organised around life events such as registering a</w:t>
      </w:r>
      <w:r w:rsidR="00895DA6">
        <w:t xml:space="preserve"> </w:t>
      </w:r>
      <w:r w:rsidRPr="00895DA6">
        <w:t>birth and finding a preschool.</w:t>
      </w:r>
    </w:p>
    <w:p w:rsidR="00A1419F" w:rsidRPr="00194BAF" w:rsidRDefault="00A1419F" w:rsidP="00194BAF">
      <w:pPr>
        <w:pStyle w:val="BodyText"/>
      </w:pPr>
      <w:r w:rsidRPr="00895DA6">
        <w:t>In addition to tailored experiences and an intuitive user</w:t>
      </w:r>
      <w:r w:rsidR="00895DA6">
        <w:t xml:space="preserve"> </w:t>
      </w:r>
      <w:r w:rsidRPr="00895DA6">
        <w:t>interface design, governments must also strive to</w:t>
      </w:r>
      <w:r w:rsidR="00895DA6">
        <w:t xml:space="preserve"> </w:t>
      </w:r>
      <w:r w:rsidRPr="00895DA6">
        <w:t>provide a seamless customer experience, with omnichannel</w:t>
      </w:r>
      <w:r w:rsidR="00895DA6">
        <w:t xml:space="preserve"> </w:t>
      </w:r>
      <w:r w:rsidRPr="00895DA6">
        <w:t>offerings across online, mobile applications,</w:t>
      </w:r>
      <w:r w:rsidR="00895DA6">
        <w:t xml:space="preserve"> </w:t>
      </w:r>
      <w:r w:rsidRPr="00895DA6">
        <w:t>contact centres and even physical shopfronts. Creating</w:t>
      </w:r>
      <w:r w:rsidR="00895DA6">
        <w:t xml:space="preserve"> </w:t>
      </w:r>
      <w:r w:rsidRPr="00895DA6">
        <w:t>a single front door and ‘one-stop shop’ offering is paramount</w:t>
      </w:r>
      <w:r w:rsidR="00895DA6">
        <w:t xml:space="preserve"> </w:t>
      </w:r>
      <w:r w:rsidRPr="00895DA6">
        <w:t>for optimising customer experience delivery</w:t>
      </w:r>
      <w:r w:rsidR="00895DA6">
        <w:t xml:space="preserve"> </w:t>
      </w:r>
      <w:r w:rsidRPr="00895DA6">
        <w:t>(see Exhibit 2b).</w:t>
      </w:r>
    </w:p>
    <w:p w:rsidR="00A1419F" w:rsidRDefault="00895DA6" w:rsidP="00194BAF">
      <w:pPr>
        <w:pStyle w:val="Heading4"/>
        <w:rPr>
          <w:lang w:eastAsia="en-AU"/>
        </w:rPr>
      </w:pPr>
      <w:r>
        <w:rPr>
          <w:lang w:eastAsia="en-AU"/>
        </w:rPr>
        <w:t>Exhibit 2b S</w:t>
      </w:r>
      <w:r w:rsidR="00A1419F">
        <w:rPr>
          <w:lang w:eastAsia="en-AU"/>
        </w:rPr>
        <w:t>eamless – best practice and exemplars</w:t>
      </w:r>
    </w:p>
    <w:p w:rsidR="00EF73B9" w:rsidRDefault="00EF73B9" w:rsidP="00EF73B9">
      <w:pPr>
        <w:pStyle w:val="Heading5"/>
        <w:rPr>
          <w:lang w:eastAsia="en-AU"/>
        </w:rPr>
      </w:pPr>
      <w:r>
        <w:rPr>
          <w:lang w:eastAsia="en-AU"/>
        </w:rPr>
        <w:t>Best practices</w:t>
      </w:r>
    </w:p>
    <w:p w:rsidR="00EF73B9" w:rsidRDefault="00EF73B9" w:rsidP="00EF73B9">
      <w:pPr>
        <w:pStyle w:val="BodyText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A single front-door is important for citizen engagement</w:t>
      </w:r>
    </w:p>
    <w:p w:rsidR="00EF73B9" w:rsidRDefault="00EF73B9" w:rsidP="00EF73B9">
      <w:pPr>
        <w:pStyle w:val="BodyText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Not all services need to be fully integrated into one platform, rather a hyper-link to a separate web page is viable for some services</w:t>
      </w:r>
    </w:p>
    <w:p w:rsidR="00EF73B9" w:rsidRDefault="00EF73B9" w:rsidP="00EF73B9">
      <w:pPr>
        <w:pStyle w:val="BodyText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Life events are a common organising mechanism to deliver a seamless experience</w:t>
      </w:r>
    </w:p>
    <w:p w:rsidR="00EF73B9" w:rsidRDefault="00EF73B9" w:rsidP="00EF73B9">
      <w:pPr>
        <w:pStyle w:val="BodyText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Government tend to provide both authenticated (via a portal) and unauthenticated (via a website) access to their content</w:t>
      </w:r>
    </w:p>
    <w:p w:rsidR="00EF73B9" w:rsidRDefault="00EF73B9" w:rsidP="00EF73B9">
      <w:pPr>
        <w:pStyle w:val="BodyText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Citizens increasingly expect onnichannel experiences in line with those in the private sector</w:t>
      </w:r>
    </w:p>
    <w:p w:rsidR="00EF73B9" w:rsidRDefault="00EF73B9" w:rsidP="00EF73B9">
      <w:pPr>
        <w:pStyle w:val="Heading5"/>
        <w:rPr>
          <w:lang w:eastAsia="en-AU"/>
        </w:rPr>
      </w:pPr>
      <w:r>
        <w:rPr>
          <w:lang w:eastAsia="en-AU"/>
        </w:rPr>
        <w:t>Exemplars</w:t>
      </w:r>
    </w:p>
    <w:p w:rsidR="00EF73B9" w:rsidRDefault="00EF73B9" w:rsidP="00EF73B9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FranceConnect</w:t>
      </w:r>
    </w:p>
    <w:p w:rsidR="00EF73B9" w:rsidRDefault="00EF73B9" w:rsidP="00EF73B9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Singpass/LifeSG</w:t>
      </w:r>
    </w:p>
    <w:p w:rsidR="00EF73B9" w:rsidRDefault="00EF73B9" w:rsidP="00EF73B9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NZ SmartStart</w:t>
      </w:r>
    </w:p>
    <w:p w:rsidR="00EF73B9" w:rsidRDefault="00EF73B9" w:rsidP="00EF73B9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Service Canada</w:t>
      </w:r>
    </w:p>
    <w:p w:rsidR="00EF73B9" w:rsidRDefault="00EF73B9" w:rsidP="00EF73B9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Seamless omnichannel experience</w:t>
      </w:r>
    </w:p>
    <w:p w:rsidR="00EF73B9" w:rsidRDefault="00EF73B9" w:rsidP="00EF73B9">
      <w:pPr>
        <w:pStyle w:val="ListParagraph"/>
        <w:numPr>
          <w:ilvl w:val="1"/>
          <w:numId w:val="27"/>
        </w:numPr>
        <w:rPr>
          <w:lang w:eastAsia="en-AU"/>
        </w:rPr>
      </w:pPr>
      <w:r>
        <w:rPr>
          <w:lang w:eastAsia="en-AU"/>
        </w:rPr>
        <w:t>TD Bank</w:t>
      </w:r>
    </w:p>
    <w:p w:rsidR="00EF73B9" w:rsidRDefault="00EF73B9" w:rsidP="00EF73B9">
      <w:pPr>
        <w:pStyle w:val="ListParagraph"/>
        <w:numPr>
          <w:ilvl w:val="1"/>
          <w:numId w:val="27"/>
        </w:numPr>
        <w:rPr>
          <w:lang w:eastAsia="en-AU"/>
        </w:rPr>
      </w:pPr>
      <w:r>
        <w:rPr>
          <w:lang w:eastAsia="en-AU"/>
        </w:rPr>
        <w:t>Commonwealth Bank</w:t>
      </w:r>
    </w:p>
    <w:p w:rsidR="00EF73B9" w:rsidRDefault="00EF73B9" w:rsidP="00EF73B9">
      <w:pPr>
        <w:pStyle w:val="ListParagraph"/>
        <w:numPr>
          <w:ilvl w:val="1"/>
          <w:numId w:val="27"/>
        </w:numPr>
        <w:rPr>
          <w:lang w:eastAsia="en-AU"/>
        </w:rPr>
      </w:pPr>
      <w:r>
        <w:rPr>
          <w:lang w:eastAsia="en-AU"/>
        </w:rPr>
        <w:lastRenderedPageBreak/>
        <w:t>Westpac</w:t>
      </w:r>
    </w:p>
    <w:p w:rsidR="00EF73B9" w:rsidRDefault="00EF73B9" w:rsidP="00EF73B9">
      <w:pPr>
        <w:rPr>
          <w:i/>
          <w:lang w:eastAsia="en-AU"/>
        </w:rPr>
      </w:pPr>
    </w:p>
    <w:p w:rsidR="00EF73B9" w:rsidRPr="00EF73B9" w:rsidRDefault="00EF73B9" w:rsidP="00EF73B9">
      <w:pPr>
        <w:rPr>
          <w:i/>
          <w:lang w:eastAsia="en-AU"/>
        </w:rPr>
      </w:pPr>
      <w:r w:rsidRPr="00EF73B9">
        <w:rPr>
          <w:i/>
          <w:lang w:eastAsia="en-AU"/>
        </w:rPr>
        <w:t>Source: BCG research and analysis</w:t>
      </w:r>
    </w:p>
    <w:p w:rsidR="009F5185" w:rsidRPr="009F5185" w:rsidRDefault="009F5185" w:rsidP="009F5185">
      <w:pPr>
        <w:rPr>
          <w:lang w:eastAsia="en-AU"/>
        </w:rPr>
      </w:pPr>
    </w:p>
    <w:p w:rsidR="00A1419F" w:rsidRPr="00D731A6" w:rsidRDefault="00D731A6" w:rsidP="00194BAF">
      <w:pPr>
        <w:pStyle w:val="Heading5"/>
      </w:pPr>
      <w:r w:rsidRPr="00D731A6">
        <w:t>Best practice 1:</w:t>
      </w:r>
      <w:r w:rsidR="00895DA6" w:rsidRPr="00D731A6">
        <w:t xml:space="preserve"> </w:t>
      </w:r>
      <w:r>
        <w:t>O</w:t>
      </w:r>
      <w:r w:rsidRPr="00D731A6">
        <w:t>ffer a single front door</w:t>
      </w:r>
    </w:p>
    <w:p w:rsidR="00A1419F" w:rsidRPr="00D731A6" w:rsidRDefault="00A1419F" w:rsidP="00D731A6">
      <w:pPr>
        <w:pStyle w:val="BodyText"/>
      </w:pPr>
      <w:r w:rsidRPr="00D731A6">
        <w:t>A single front door makes it easier for citizens to</w:t>
      </w:r>
      <w:r w:rsidR="00D731A6">
        <w:t xml:space="preserve"> </w:t>
      </w:r>
      <w:r w:rsidRPr="00D731A6">
        <w:t>know where to access services. For example, France</w:t>
      </w:r>
      <w:r w:rsidR="00D731A6">
        <w:t xml:space="preserve"> </w:t>
      </w:r>
      <w:r w:rsidRPr="00D731A6">
        <w:t>Connect(+) is a central authority that confirms identity</w:t>
      </w:r>
      <w:r w:rsidR="00D731A6">
        <w:t xml:space="preserve"> </w:t>
      </w:r>
      <w:r w:rsidRPr="00D731A6">
        <w:t>electronically and provides access to a broad</w:t>
      </w:r>
      <w:r w:rsidR="00D731A6">
        <w:t xml:space="preserve"> </w:t>
      </w:r>
      <w:r w:rsidRPr="00D731A6">
        <w:t>range of digital services. Over 1,440 services can be</w:t>
      </w:r>
      <w:r w:rsidR="00D731A6">
        <w:t xml:space="preserve"> </w:t>
      </w:r>
      <w:r w:rsidRPr="00D731A6">
        <w:t>accessed via six different account options leveraging</w:t>
      </w:r>
      <w:r w:rsidR="00D731A6">
        <w:t xml:space="preserve"> </w:t>
      </w:r>
      <w:r w:rsidRPr="00D731A6">
        <w:t>the National Digital ID program.</w:t>
      </w:r>
    </w:p>
    <w:p w:rsidR="00A1419F" w:rsidRPr="00D731A6" w:rsidRDefault="00D731A6" w:rsidP="00194BAF">
      <w:pPr>
        <w:pStyle w:val="Heading5"/>
      </w:pPr>
      <w:r w:rsidRPr="00D731A6">
        <w:t xml:space="preserve">Best practice 2: </w:t>
      </w:r>
      <w:r>
        <w:t>D</w:t>
      </w:r>
      <w:r w:rsidRPr="00D731A6">
        <w:t>on’t feel the need to</w:t>
      </w:r>
      <w:r w:rsidR="00895DA6" w:rsidRPr="00D731A6">
        <w:t xml:space="preserve"> </w:t>
      </w:r>
      <w:r w:rsidRPr="00D731A6">
        <w:t>integrate all services into one platform</w:t>
      </w:r>
    </w:p>
    <w:p w:rsidR="00A1419F" w:rsidRPr="00D731A6" w:rsidRDefault="00A1419F" w:rsidP="00D731A6">
      <w:pPr>
        <w:pStyle w:val="BodyText"/>
      </w:pPr>
      <w:r w:rsidRPr="00D731A6">
        <w:t>It can be very difficult to integrate all services into</w:t>
      </w:r>
      <w:r w:rsidR="00D731A6">
        <w:t xml:space="preserve"> </w:t>
      </w:r>
      <w:r w:rsidRPr="00D731A6">
        <w:t>one platform and not all are required. Some can be</w:t>
      </w:r>
      <w:r w:rsidR="00D731A6">
        <w:t xml:space="preserve"> </w:t>
      </w:r>
      <w:r w:rsidRPr="00D731A6">
        <w:t>linked via hyperlinks to help navigate the government</w:t>
      </w:r>
      <w:r w:rsidR="00D731A6">
        <w:t xml:space="preserve"> </w:t>
      </w:r>
      <w:r w:rsidRPr="00D731A6">
        <w:t>services. For example, GOV.UK aims to create a</w:t>
      </w:r>
      <w:r w:rsidR="00D731A6">
        <w:t xml:space="preserve"> </w:t>
      </w:r>
      <w:r w:rsidRPr="00D731A6">
        <w:t>consistent, but not always uniform, experience</w:t>
      </w:r>
      <w:r w:rsidR="00D731A6">
        <w:t xml:space="preserve"> </w:t>
      </w:r>
      <w:r w:rsidRPr="00D731A6">
        <w:t>across all web pages. The GOV.UK platform is a web</w:t>
      </w:r>
      <w:r w:rsidR="00D731A6">
        <w:t xml:space="preserve"> </w:t>
      </w:r>
      <w:r w:rsidRPr="00D731A6">
        <w:t>page with specific service information and a consistent</w:t>
      </w:r>
      <w:r w:rsidR="00D731A6">
        <w:t xml:space="preserve"> </w:t>
      </w:r>
      <w:r w:rsidRPr="00D731A6">
        <w:t>look and feel, with hyperlinks to agency-managed</w:t>
      </w:r>
      <w:r w:rsidR="00D731A6">
        <w:t xml:space="preserve"> </w:t>
      </w:r>
      <w:r w:rsidRPr="00D731A6">
        <w:t>web pages that also adopt the same colour and</w:t>
      </w:r>
      <w:r w:rsidR="00D731A6">
        <w:t xml:space="preserve"> </w:t>
      </w:r>
      <w:r w:rsidRPr="00D731A6">
        <w:t>design scheme.</w:t>
      </w:r>
    </w:p>
    <w:p w:rsidR="00085520" w:rsidRPr="00D731A6" w:rsidRDefault="00D731A6" w:rsidP="00194BAF">
      <w:pPr>
        <w:pStyle w:val="Heading5"/>
      </w:pPr>
      <w:r>
        <w:t>Best practice 3: U</w:t>
      </w:r>
      <w:r w:rsidRPr="00D731A6">
        <w:t>se life events</w:t>
      </w:r>
      <w:r w:rsidR="00895DA6" w:rsidRPr="00D731A6">
        <w:t xml:space="preserve"> </w:t>
      </w:r>
      <w:r w:rsidRPr="00D731A6">
        <w:t>as a common organising framework</w:t>
      </w:r>
    </w:p>
    <w:p w:rsidR="00A1419F" w:rsidRPr="00D731A6" w:rsidRDefault="00085520" w:rsidP="00D731A6">
      <w:pPr>
        <w:pStyle w:val="BodyText"/>
      </w:pPr>
      <w:r w:rsidRPr="00D731A6">
        <w:t>Citizens tend to look for support during life events</w:t>
      </w:r>
      <w:r w:rsidR="00D731A6">
        <w:t xml:space="preserve"> </w:t>
      </w:r>
      <w:r w:rsidRPr="00D731A6">
        <w:t>such as having a child or setting up a business, and</w:t>
      </w:r>
      <w:r w:rsidR="00D731A6">
        <w:t xml:space="preserve"> </w:t>
      </w:r>
      <w:r w:rsidRPr="00D731A6">
        <w:t>governments have started to organise around these</w:t>
      </w:r>
      <w:r w:rsidR="00D731A6">
        <w:t xml:space="preserve"> </w:t>
      </w:r>
      <w:r w:rsidRPr="00D731A6">
        <w:t xml:space="preserve">events. For example, Singapore designed </w:t>
      </w:r>
      <w:r w:rsidR="00D731A6">
        <w:t xml:space="preserve"> g</w:t>
      </w:r>
      <w:r w:rsidRPr="00D731A6">
        <w:t>overnment</w:t>
      </w:r>
      <w:r w:rsidR="00D731A6">
        <w:t xml:space="preserve"> </w:t>
      </w:r>
      <w:r w:rsidRPr="00D731A6">
        <w:t>services centred around its citizens' life events</w:t>
      </w:r>
      <w:r w:rsidR="00D731A6">
        <w:t xml:space="preserve"> </w:t>
      </w:r>
      <w:r w:rsidRPr="00D731A6">
        <w:t>to improve satisfaction. The New Zealand government</w:t>
      </w:r>
      <w:r w:rsidR="00D731A6">
        <w:t xml:space="preserve"> </w:t>
      </w:r>
      <w:r w:rsidRPr="00D731A6">
        <w:t>is also designing citizen experiences around</w:t>
      </w:r>
      <w:r w:rsidR="00D731A6">
        <w:t xml:space="preserve"> </w:t>
      </w:r>
      <w:r w:rsidRPr="00D731A6">
        <w:t>life events, such as 'having a new child'. SmartStart</w:t>
      </w:r>
      <w:r w:rsidR="00D731A6">
        <w:t xml:space="preserve"> </w:t>
      </w:r>
      <w:r w:rsidRPr="00D731A6">
        <w:t>is the New Zealand government’s first life event</w:t>
      </w:r>
      <w:r w:rsidR="00D731A6">
        <w:t xml:space="preserve"> </w:t>
      </w:r>
      <w:r w:rsidRPr="00D731A6">
        <w:t>program to provide new parents with easy and</w:t>
      </w:r>
      <w:r w:rsidR="00D731A6">
        <w:t xml:space="preserve"> </w:t>
      </w:r>
      <w:r w:rsidRPr="00D731A6">
        <w:t>centralised access to government services.</w:t>
      </w:r>
    </w:p>
    <w:p w:rsidR="00085520" w:rsidRPr="00D731A6" w:rsidRDefault="00D731A6" w:rsidP="00194BAF">
      <w:pPr>
        <w:pStyle w:val="Heading5"/>
      </w:pPr>
      <w:r>
        <w:t>Best practice 4: U</w:t>
      </w:r>
      <w:r w:rsidRPr="00D731A6">
        <w:t>tilise both authenticated</w:t>
      </w:r>
      <w:r w:rsidR="00895DA6" w:rsidRPr="00D731A6">
        <w:t xml:space="preserve"> </w:t>
      </w:r>
      <w:r w:rsidRPr="00D731A6">
        <w:t>and unauthenticated platforms</w:t>
      </w:r>
    </w:p>
    <w:p w:rsidR="00085520" w:rsidRPr="00D731A6" w:rsidRDefault="00085520" w:rsidP="00D731A6">
      <w:pPr>
        <w:pStyle w:val="BodyText"/>
      </w:pPr>
      <w:r w:rsidRPr="00D731A6">
        <w:t>It is common for governments to have both an</w:t>
      </w:r>
      <w:r w:rsidR="00D731A6">
        <w:t xml:space="preserve"> </w:t>
      </w:r>
      <w:r w:rsidRPr="00D731A6">
        <w:t>authenticated and unauthenticated platform for</w:t>
      </w:r>
      <w:r w:rsidR="00D731A6">
        <w:t xml:space="preserve"> </w:t>
      </w:r>
      <w:r w:rsidRPr="00D731A6">
        <w:t>citizens to access. For example, Canada.ca is a</w:t>
      </w:r>
      <w:r w:rsidR="00D731A6">
        <w:t xml:space="preserve"> </w:t>
      </w:r>
      <w:r w:rsidRPr="00D731A6">
        <w:t>navigational portal that leverages a consistent look</w:t>
      </w:r>
      <w:r w:rsidR="00D731A6">
        <w:t xml:space="preserve"> </w:t>
      </w:r>
      <w:r w:rsidRPr="00D731A6">
        <w:t>and feel across member services for citizens to</w:t>
      </w:r>
      <w:r w:rsidR="00D731A6">
        <w:t xml:space="preserve"> </w:t>
      </w:r>
      <w:r w:rsidRPr="00D731A6">
        <w:t>locate critical service information. Within the Canada.ca site, citizens also have access to their MyService</w:t>
      </w:r>
      <w:r w:rsidR="00D731A6">
        <w:t xml:space="preserve"> </w:t>
      </w:r>
      <w:r w:rsidRPr="00D731A6">
        <w:t>Canada account and, once a user authenticates</w:t>
      </w:r>
      <w:r w:rsidR="00D731A6">
        <w:t xml:space="preserve"> </w:t>
      </w:r>
      <w:r w:rsidRPr="00D731A6">
        <w:t>using their national or provincial digital ID, the portal</w:t>
      </w:r>
      <w:r w:rsidR="00D731A6">
        <w:t xml:space="preserve"> </w:t>
      </w:r>
      <w:r w:rsidRPr="00D731A6">
        <w:t>leverages a common design scheme that provides</w:t>
      </w:r>
      <w:r w:rsidR="00D731A6">
        <w:t xml:space="preserve"> </w:t>
      </w:r>
      <w:r w:rsidRPr="00D731A6">
        <w:t>access to tax, benefits and other services.</w:t>
      </w:r>
    </w:p>
    <w:p w:rsidR="00085520" w:rsidRPr="00D731A6" w:rsidRDefault="00D731A6" w:rsidP="00194BAF">
      <w:pPr>
        <w:pStyle w:val="Heading5"/>
      </w:pPr>
      <w:r w:rsidRPr="00D731A6">
        <w:t xml:space="preserve">Best practice 5: </w:t>
      </w:r>
      <w:r>
        <w:t>M</w:t>
      </w:r>
      <w:r w:rsidRPr="00D731A6">
        <w:t>eet citizen expectations</w:t>
      </w:r>
      <w:r w:rsidR="00895DA6" w:rsidRPr="00D731A6">
        <w:t xml:space="preserve"> </w:t>
      </w:r>
      <w:r w:rsidRPr="00D731A6">
        <w:t>for an omnichannel experience</w:t>
      </w:r>
    </w:p>
    <w:p w:rsidR="00085520" w:rsidRPr="00D731A6" w:rsidRDefault="00085520" w:rsidP="00D731A6">
      <w:pPr>
        <w:pStyle w:val="BodyText"/>
      </w:pPr>
      <w:r w:rsidRPr="00D731A6">
        <w:t>Citizens expect to be able to move between online,</w:t>
      </w:r>
      <w:r w:rsidR="00D731A6">
        <w:t xml:space="preserve"> </w:t>
      </w:r>
      <w:r w:rsidRPr="00D731A6">
        <w:t>mobile, contact centres and even physical shopfronts</w:t>
      </w:r>
      <w:r w:rsidR="00D731A6">
        <w:t xml:space="preserve"> </w:t>
      </w:r>
      <w:r w:rsidRPr="00D731A6">
        <w:t>for their transactions. For example, TD bank</w:t>
      </w:r>
      <w:r w:rsidR="00D731A6">
        <w:t xml:space="preserve"> </w:t>
      </w:r>
      <w:r w:rsidRPr="00D731A6">
        <w:t>transformed its omnichannel approach to enable</w:t>
      </w:r>
      <w:r w:rsidR="00D731A6">
        <w:t xml:space="preserve"> </w:t>
      </w:r>
      <w:r w:rsidRPr="00D731A6">
        <w:t>customers to start an application anywhere and</w:t>
      </w:r>
      <w:r w:rsidR="00D731A6">
        <w:t xml:space="preserve"> </w:t>
      </w:r>
      <w:r w:rsidRPr="00D731A6">
        <w:t>continue seamlessly in a different channel. In</w:t>
      </w:r>
      <w:r w:rsidR="00D731A6">
        <w:t xml:space="preserve"> </w:t>
      </w:r>
      <w:r w:rsidRPr="00D731A6">
        <w:t>Australia, CBA is a market leader in omnichannel</w:t>
      </w:r>
      <w:r w:rsidR="00D731A6">
        <w:t xml:space="preserve"> </w:t>
      </w:r>
      <w:r w:rsidRPr="00D731A6">
        <w:t>customer engagement due to its Customer Engagement</w:t>
      </w:r>
      <w:r w:rsidR="00D731A6">
        <w:t xml:space="preserve"> </w:t>
      </w:r>
      <w:r w:rsidRPr="00D731A6">
        <w:t>Engine (CEE). The CEE was particularly useful</w:t>
      </w:r>
      <w:r w:rsidR="00D731A6">
        <w:t xml:space="preserve"> </w:t>
      </w:r>
      <w:r w:rsidRPr="00D731A6">
        <w:t>for citizens during the COVID-19 pandemic by proactively</w:t>
      </w:r>
      <w:r w:rsidR="00D731A6">
        <w:t xml:space="preserve"> </w:t>
      </w:r>
      <w:r w:rsidRPr="00D731A6">
        <w:t>informing citizens about available rebates and</w:t>
      </w:r>
      <w:r w:rsidR="00D731A6">
        <w:t xml:space="preserve"> </w:t>
      </w:r>
      <w:r w:rsidRPr="00D731A6">
        <w:t>grants.</w:t>
      </w:r>
    </w:p>
    <w:p w:rsidR="00085520" w:rsidRPr="00D731A6" w:rsidRDefault="00D731A6" w:rsidP="00194BAF">
      <w:pPr>
        <w:pStyle w:val="Heading5"/>
      </w:pPr>
      <w:r w:rsidRPr="00D731A6">
        <w:t xml:space="preserve">Best practice deep dive: </w:t>
      </w:r>
      <w:r>
        <w:t>I</w:t>
      </w:r>
      <w:r w:rsidRPr="00D731A6">
        <w:t>nformational</w:t>
      </w:r>
      <w:r w:rsidR="00895DA6" w:rsidRPr="00D731A6">
        <w:t xml:space="preserve"> </w:t>
      </w:r>
      <w:r w:rsidRPr="00D731A6">
        <w:t>vs. Transactional services</w:t>
      </w:r>
    </w:p>
    <w:p w:rsidR="00085520" w:rsidRPr="00194BAF" w:rsidRDefault="00085520" w:rsidP="00194BAF">
      <w:pPr>
        <w:pStyle w:val="BodyText"/>
      </w:pPr>
      <w:r w:rsidRPr="00D731A6">
        <w:t>At present, myGov is mainly a transactional platform</w:t>
      </w:r>
      <w:r w:rsidR="00D731A6">
        <w:t xml:space="preserve"> </w:t>
      </w:r>
      <w:r w:rsidRPr="00D731A6">
        <w:t xml:space="preserve">with limited services. The information and </w:t>
      </w:r>
      <w:r w:rsidR="00D731A6">
        <w:t>n</w:t>
      </w:r>
      <w:r w:rsidRPr="00D731A6">
        <w:t>avigational</w:t>
      </w:r>
      <w:r w:rsidR="00D731A6">
        <w:t xml:space="preserve"> </w:t>
      </w:r>
      <w:r w:rsidRPr="00D731A6">
        <w:t>services are pr</w:t>
      </w:r>
      <w:r w:rsidR="00D731A6">
        <w:t>imarily housed on australia.gov.</w:t>
      </w:r>
      <w:r w:rsidRPr="00D731A6">
        <w:t>au. A review of international best practice benchmarking</w:t>
      </w:r>
      <w:r w:rsidR="00D731A6">
        <w:t xml:space="preserve"> </w:t>
      </w:r>
      <w:r w:rsidRPr="00D731A6">
        <w:t>identified several leading countries that</w:t>
      </w:r>
      <w:r w:rsidR="00D731A6">
        <w:t xml:space="preserve"> </w:t>
      </w:r>
      <w:r w:rsidRPr="00D731A6">
        <w:t>have successfully integrated information and transaction</w:t>
      </w:r>
      <w:r w:rsidR="00D731A6">
        <w:t xml:space="preserve"> </w:t>
      </w:r>
      <w:r w:rsidRPr="00D731A6">
        <w:t>services with positive impacts on uptake and</w:t>
      </w:r>
      <w:r w:rsidR="00D731A6">
        <w:t xml:space="preserve"> </w:t>
      </w:r>
      <w:r w:rsidRPr="00D731A6">
        <w:t>satisfaction (e.g. Estonia, UK, Singapore). While all</w:t>
      </w:r>
      <w:r w:rsidR="00D731A6">
        <w:t xml:space="preserve"> </w:t>
      </w:r>
      <w:r w:rsidRPr="00D731A6">
        <w:t>information services may not necessarily be needed</w:t>
      </w:r>
      <w:r w:rsidR="00D731A6">
        <w:t xml:space="preserve"> </w:t>
      </w:r>
      <w:r w:rsidRPr="00D731A6">
        <w:t>within myGov, the government could include priority</w:t>
      </w:r>
      <w:r w:rsidR="00D731A6">
        <w:t xml:space="preserve"> </w:t>
      </w:r>
      <w:r w:rsidRPr="00D731A6">
        <w:t>services to provide a more seamless experience and</w:t>
      </w:r>
      <w:r w:rsidR="00D731A6">
        <w:t xml:space="preserve"> </w:t>
      </w:r>
      <w:r w:rsidRPr="00D731A6">
        <w:t xml:space="preserve">move closer to the one-stop-shop </w:t>
      </w:r>
      <w:r w:rsidRPr="00D731A6">
        <w:lastRenderedPageBreak/>
        <w:t>vision. Information</w:t>
      </w:r>
      <w:r w:rsidR="00D731A6">
        <w:t xml:space="preserve"> </w:t>
      </w:r>
      <w:r w:rsidRPr="00D731A6">
        <w:t>services to include on myGov could be evaluated</w:t>
      </w:r>
      <w:r w:rsidR="00D731A6">
        <w:t xml:space="preserve"> </w:t>
      </w:r>
      <w:r w:rsidRPr="00D731A6">
        <w:t>based on variables such as user volume, access</w:t>
      </w:r>
      <w:r w:rsidR="00D731A6">
        <w:t xml:space="preserve"> </w:t>
      </w:r>
      <w:r w:rsidRPr="00D731A6">
        <w:t>frequency and number of unique visits within a given</w:t>
      </w:r>
      <w:r w:rsidR="00D731A6">
        <w:t xml:space="preserve"> </w:t>
      </w:r>
      <w:r w:rsidRPr="00D731A6">
        <w:t>time frame.</w:t>
      </w:r>
    </w:p>
    <w:p w:rsidR="00085520" w:rsidRPr="00D731A6" w:rsidRDefault="00085520" w:rsidP="00194BAF">
      <w:pPr>
        <w:pStyle w:val="Heading3"/>
      </w:pPr>
      <w:r w:rsidRPr="00D731A6">
        <w:t>3.3. Focus area 3:</w:t>
      </w:r>
      <w:r w:rsidR="00895DA6" w:rsidRPr="00D731A6">
        <w:t xml:space="preserve"> </w:t>
      </w:r>
      <w:r w:rsidR="00D731A6">
        <w:t>You and your information are safe</w:t>
      </w:r>
    </w:p>
    <w:p w:rsidR="00A1419F" w:rsidRPr="00D731A6" w:rsidRDefault="00085520" w:rsidP="00D731A6">
      <w:pPr>
        <w:pStyle w:val="BodyText"/>
      </w:pPr>
      <w:r w:rsidRPr="00D731A6">
        <w:t>Privacy is important to citizens, and in Australia</w:t>
      </w:r>
      <w:r w:rsidR="00D731A6">
        <w:t xml:space="preserve"> </w:t>
      </w:r>
      <w:r w:rsidRPr="00D731A6">
        <w:t>citizens generally feel that government protects</w:t>
      </w:r>
      <w:r w:rsidR="00D731A6">
        <w:t xml:space="preserve"> </w:t>
      </w:r>
      <w:r w:rsidRPr="00D731A6">
        <w:t>their personal information better than private</w:t>
      </w:r>
      <w:r w:rsidR="00D731A6">
        <w:t xml:space="preserve"> </w:t>
      </w:r>
      <w:r w:rsidRPr="00D731A6">
        <w:t>businesses. According to the 2020 Australian</w:t>
      </w:r>
      <w:r w:rsidR="00D731A6">
        <w:t xml:space="preserve"> </w:t>
      </w:r>
      <w:r w:rsidRPr="00D731A6">
        <w:t>Government Community Attitudes to Privacy</w:t>
      </w:r>
      <w:r w:rsidR="00D731A6">
        <w:t xml:space="preserve"> </w:t>
      </w:r>
      <w:r w:rsidRPr="00D731A6">
        <w:t>Survey, 70% of citizens view personal information</w:t>
      </w:r>
      <w:r w:rsidR="00D731A6">
        <w:t xml:space="preserve"> </w:t>
      </w:r>
      <w:r w:rsidRPr="00D731A6">
        <w:t>protection as a major life concern, with the biggest</w:t>
      </w:r>
      <w:r w:rsidR="00D731A6">
        <w:t xml:space="preserve"> </w:t>
      </w:r>
      <w:r w:rsidRPr="00D731A6">
        <w:t>risks being identity theft and fraud, data security</w:t>
      </w:r>
      <w:r w:rsidR="00D731A6">
        <w:t xml:space="preserve"> </w:t>
      </w:r>
      <w:r w:rsidRPr="00D731A6">
        <w:t>and breaches and digital services such as social</w:t>
      </w:r>
      <w:r w:rsidR="00D731A6">
        <w:t xml:space="preserve"> </w:t>
      </w:r>
      <w:r w:rsidRPr="00D731A6">
        <w:t>media platforms.</w:t>
      </w:r>
    </w:p>
    <w:p w:rsidR="00085520" w:rsidRPr="00D731A6" w:rsidRDefault="00085520" w:rsidP="00D731A6">
      <w:pPr>
        <w:pStyle w:val="BodyText"/>
      </w:pPr>
      <w:r w:rsidRPr="00D731A6">
        <w:t>Digital ID is a critical component of helping to</w:t>
      </w:r>
      <w:r w:rsidR="00D731A6">
        <w:t xml:space="preserve"> </w:t>
      </w:r>
      <w:r w:rsidRPr="00D731A6">
        <w:t>deliver a secure experience and protecting citizen</w:t>
      </w:r>
      <w:r w:rsidR="00D731A6">
        <w:t xml:space="preserve"> </w:t>
      </w:r>
      <w:r w:rsidRPr="00D731A6">
        <w:t>data. Best practice governments,</w:t>
      </w:r>
      <w:r w:rsidR="004D5147">
        <w:t xml:space="preserve"> </w:t>
      </w:r>
      <w:r w:rsidRPr="00D731A6">
        <w:t>such as Singapore,</w:t>
      </w:r>
      <w:r w:rsidR="00D731A6">
        <w:t xml:space="preserve"> </w:t>
      </w:r>
      <w:r w:rsidRPr="00D731A6">
        <w:t>South Korea and Estonia, all use a government-issued</w:t>
      </w:r>
      <w:r w:rsidR="00D731A6">
        <w:t xml:space="preserve"> </w:t>
      </w:r>
      <w:r w:rsidRPr="00D731A6">
        <w:t>digital ID as the single sign-on method. There</w:t>
      </w:r>
      <w:r w:rsidR="00D731A6">
        <w:t xml:space="preserve"> </w:t>
      </w:r>
      <w:r w:rsidRPr="00D731A6">
        <w:t>are many indirect benefits to stakeholders from</w:t>
      </w:r>
      <w:r w:rsidR="00D731A6">
        <w:t xml:space="preserve"> </w:t>
      </w:r>
      <w:r w:rsidRPr="00D731A6">
        <w:t>enhanced identity assurance, including reduced</w:t>
      </w:r>
      <w:r w:rsidR="00D731A6">
        <w:t xml:space="preserve"> </w:t>
      </w:r>
      <w:r w:rsidRPr="00D731A6">
        <w:t>service costs, improved data integrity, user experience</w:t>
      </w:r>
      <w:r w:rsidR="00D731A6">
        <w:t xml:space="preserve"> </w:t>
      </w:r>
      <w:r w:rsidRPr="00D731A6">
        <w:t>and additional customer value. Leading</w:t>
      </w:r>
      <w:r w:rsidR="00D731A6">
        <w:t xml:space="preserve"> </w:t>
      </w:r>
      <w:r w:rsidRPr="00D731A6">
        <w:t>governments and global technology giants are</w:t>
      </w:r>
      <w:r w:rsidR="00D731A6">
        <w:t xml:space="preserve"> </w:t>
      </w:r>
      <w:r w:rsidRPr="00D731A6">
        <w:t>continuing to build capabilities in cybersecurity</w:t>
      </w:r>
      <w:r w:rsidR="00D731A6">
        <w:t xml:space="preserve"> </w:t>
      </w:r>
      <w:r w:rsidRPr="00D731A6">
        <w:t>and ID verification as safeguarding data becomes</w:t>
      </w:r>
      <w:r w:rsidR="00D731A6">
        <w:t xml:space="preserve"> </w:t>
      </w:r>
      <w:r w:rsidRPr="00D731A6">
        <w:t>increasingly important in a world of sophisticated</w:t>
      </w:r>
      <w:r w:rsidR="00D731A6">
        <w:t xml:space="preserve"> </w:t>
      </w:r>
      <w:r w:rsidRPr="00D731A6">
        <w:t>cyberattacks and public data breaches. Exhibit 3</w:t>
      </w:r>
      <w:r w:rsidR="00D731A6">
        <w:t xml:space="preserve"> </w:t>
      </w:r>
      <w:r w:rsidRPr="00D731A6">
        <w:t>summarizes the main best practices and exemplars</w:t>
      </w:r>
      <w:r w:rsidR="00D731A6">
        <w:t xml:space="preserve"> </w:t>
      </w:r>
      <w:r w:rsidRPr="00D731A6">
        <w:t>discovered in the benchmarking research.</w:t>
      </w:r>
    </w:p>
    <w:p w:rsidR="00085520" w:rsidRDefault="00D731A6" w:rsidP="00194BAF">
      <w:pPr>
        <w:pStyle w:val="Heading4"/>
        <w:rPr>
          <w:lang w:eastAsia="en-AU"/>
        </w:rPr>
      </w:pPr>
      <w:r>
        <w:rPr>
          <w:lang w:eastAsia="en-AU"/>
        </w:rPr>
        <w:t>Exhibit 3: Y</w:t>
      </w:r>
      <w:r w:rsidR="00085520">
        <w:rPr>
          <w:lang w:eastAsia="en-AU"/>
        </w:rPr>
        <w:t>our information is safe – best practice and exemplars</w:t>
      </w:r>
    </w:p>
    <w:p w:rsidR="00EF73B9" w:rsidRDefault="00EF73B9" w:rsidP="009F5185">
      <w:pPr>
        <w:pStyle w:val="Heading5"/>
        <w:rPr>
          <w:lang w:eastAsia="en-AU"/>
        </w:rPr>
      </w:pPr>
      <w:r>
        <w:rPr>
          <w:lang w:eastAsia="en-AU"/>
        </w:rPr>
        <w:t>Best practices</w:t>
      </w:r>
    </w:p>
    <w:p w:rsidR="00EF73B9" w:rsidRDefault="00EF73B9" w:rsidP="00EF73B9">
      <w:pPr>
        <w:pStyle w:val="ListParagraph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>Most citizens want a digital identity, with highest preference for one or two</w:t>
      </w:r>
    </w:p>
    <w:p w:rsidR="00EF73B9" w:rsidRDefault="00EF73B9" w:rsidP="00EF73B9">
      <w:pPr>
        <w:pStyle w:val="ListParagraph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>Prioritize digital ID as a foundational component to provide seamless access channels and drive update</w:t>
      </w:r>
    </w:p>
    <w:p w:rsidR="00EF73B9" w:rsidRDefault="00EF73B9" w:rsidP="00EF73B9">
      <w:pPr>
        <w:pStyle w:val="ListParagraph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>Safeguard citizen data and fortify platform with modern cybersecurity practices including zero trust and unified authentication</w:t>
      </w:r>
    </w:p>
    <w:p w:rsidR="00EF73B9" w:rsidRPr="00EF73B9" w:rsidRDefault="00EF73B9" w:rsidP="00EF73B9">
      <w:pPr>
        <w:pStyle w:val="ListParagraph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>Facilitate effective integration with private sector entities including financial institutions for seamless</w:t>
      </w:r>
      <w:r w:rsidR="004D1F33">
        <w:rPr>
          <w:lang w:eastAsia="en-AU"/>
        </w:rPr>
        <w:t xml:space="preserve"> authentication across services</w:t>
      </w:r>
    </w:p>
    <w:p w:rsidR="009F5185" w:rsidRDefault="009F5185" w:rsidP="009F5185">
      <w:pPr>
        <w:pStyle w:val="Heading5"/>
        <w:rPr>
          <w:lang w:eastAsia="en-AU"/>
        </w:rPr>
      </w:pPr>
      <w:r>
        <w:rPr>
          <w:lang w:eastAsia="en-AU"/>
        </w:rPr>
        <w:t>Exemplars</w:t>
      </w:r>
    </w:p>
    <w:p w:rsidR="009F5185" w:rsidRDefault="004D1F33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Estonia EESTI.EE and X-road</w:t>
      </w:r>
    </w:p>
    <w:p w:rsidR="004D1F33" w:rsidRDefault="004D1F33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Singapore Singpass and LifeSG</w:t>
      </w:r>
    </w:p>
    <w:p w:rsidR="004D1F33" w:rsidRDefault="004D1F33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Denmark</w:t>
      </w:r>
    </w:p>
    <w:p w:rsidR="004D1F33" w:rsidRDefault="004D1F33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US IRS</w:t>
      </w:r>
    </w:p>
    <w:p w:rsidR="004D1F33" w:rsidRDefault="004D1F33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HSBC</w:t>
      </w:r>
    </w:p>
    <w:p w:rsidR="004D1F33" w:rsidRDefault="004D1F33" w:rsidP="004D1F33">
      <w:pPr>
        <w:pStyle w:val="ListParagraph"/>
        <w:numPr>
          <w:ilvl w:val="1"/>
          <w:numId w:val="27"/>
        </w:numPr>
        <w:rPr>
          <w:lang w:eastAsia="en-AU"/>
        </w:rPr>
      </w:pPr>
      <w:r>
        <w:rPr>
          <w:lang w:eastAsia="en-AU"/>
        </w:rPr>
        <w:t>BCG Digital Government Citizen Survey 2022</w:t>
      </w:r>
    </w:p>
    <w:p w:rsidR="004D1F33" w:rsidRDefault="004D1F33" w:rsidP="004D1F33">
      <w:pPr>
        <w:pStyle w:val="ListParagraph"/>
        <w:numPr>
          <w:ilvl w:val="1"/>
          <w:numId w:val="27"/>
        </w:numPr>
        <w:rPr>
          <w:lang w:eastAsia="en-AU"/>
        </w:rPr>
      </w:pPr>
      <w:r>
        <w:rPr>
          <w:lang w:eastAsia="en-AU"/>
        </w:rPr>
        <w:t>Australian Government Attitudes to Privacy Survey 2022</w:t>
      </w:r>
    </w:p>
    <w:p w:rsidR="00EF73B9" w:rsidRDefault="00EF73B9" w:rsidP="00EF73B9">
      <w:pPr>
        <w:rPr>
          <w:i/>
          <w:lang w:eastAsia="en-AU"/>
        </w:rPr>
      </w:pPr>
    </w:p>
    <w:p w:rsidR="00EF73B9" w:rsidRPr="00EF73B9" w:rsidRDefault="00EF73B9" w:rsidP="00EF73B9">
      <w:pPr>
        <w:rPr>
          <w:i/>
          <w:lang w:eastAsia="en-AU"/>
        </w:rPr>
      </w:pPr>
      <w:r w:rsidRPr="00EF73B9">
        <w:rPr>
          <w:i/>
          <w:lang w:eastAsia="en-AU"/>
        </w:rPr>
        <w:t>Source: BCG research and analysis</w:t>
      </w:r>
    </w:p>
    <w:p w:rsidR="00EF73B9" w:rsidRPr="009F5185" w:rsidRDefault="00EF73B9" w:rsidP="00EF73B9">
      <w:pPr>
        <w:rPr>
          <w:lang w:eastAsia="en-AU"/>
        </w:rPr>
      </w:pPr>
    </w:p>
    <w:p w:rsidR="00085520" w:rsidRPr="00D731A6" w:rsidRDefault="004D5147" w:rsidP="00194BAF">
      <w:pPr>
        <w:pStyle w:val="Heading5"/>
      </w:pPr>
      <w:r w:rsidRPr="00D731A6">
        <w:t>Best practice 1:</w:t>
      </w:r>
      <w:r w:rsidR="00D731A6">
        <w:t xml:space="preserve"> </w:t>
      </w:r>
      <w:r>
        <w:t>D</w:t>
      </w:r>
      <w:r w:rsidRPr="00D731A6">
        <w:t>igital identity preferences</w:t>
      </w:r>
    </w:p>
    <w:p w:rsidR="00085520" w:rsidRPr="005025F8" w:rsidRDefault="00085520" w:rsidP="005025F8">
      <w:pPr>
        <w:pStyle w:val="BodyText"/>
      </w:pPr>
      <w:r w:rsidRPr="005025F8">
        <w:t>Most Australian citizens (92%) want access to some</w:t>
      </w:r>
      <w:r w:rsidR="005025F8">
        <w:t xml:space="preserve"> </w:t>
      </w:r>
      <w:r w:rsidRPr="005025F8">
        <w:t>form of digital ID, with 72% expressing interest in</w:t>
      </w:r>
      <w:r w:rsidR="005025F8">
        <w:t xml:space="preserve"> </w:t>
      </w:r>
      <w:r w:rsidRPr="005025F8">
        <w:t>one or two IDs (BCG Digital Government Citizen</w:t>
      </w:r>
      <w:r w:rsidR="005025F8">
        <w:t xml:space="preserve"> </w:t>
      </w:r>
      <w:r w:rsidRPr="005025F8">
        <w:t>Survey 2022). In terms of providers, first preference is</w:t>
      </w:r>
      <w:r w:rsidR="005025F8">
        <w:t xml:space="preserve"> </w:t>
      </w:r>
      <w:r w:rsidRPr="005025F8">
        <w:t>for national government, followed by the state</w:t>
      </w:r>
      <w:r w:rsidR="005025F8">
        <w:t xml:space="preserve"> </w:t>
      </w:r>
      <w:r w:rsidRPr="005025F8">
        <w:t>government and then financial institutions. In</w:t>
      </w:r>
      <w:r w:rsidR="005025F8">
        <w:t xml:space="preserve"> </w:t>
      </w:r>
      <w:r w:rsidRPr="005025F8">
        <w:t xml:space="preserve">Australia, </w:t>
      </w:r>
      <w:r w:rsidR="005025F8">
        <w:t xml:space="preserve"> m</w:t>
      </w:r>
      <w:r w:rsidRPr="005025F8">
        <w:t>ultiple identity service providers (at least</w:t>
      </w:r>
      <w:r w:rsidR="005025F8">
        <w:t xml:space="preserve"> </w:t>
      </w:r>
      <w:r w:rsidRPr="005025F8">
        <w:t>one government and one non-government) will be</w:t>
      </w:r>
      <w:r w:rsidR="005025F8">
        <w:t xml:space="preserve"> </w:t>
      </w:r>
      <w:r w:rsidRPr="005025F8">
        <w:t>needed to meet the needs and preferences of all</w:t>
      </w:r>
      <w:r w:rsidR="005025F8">
        <w:t xml:space="preserve"> </w:t>
      </w:r>
      <w:r w:rsidRPr="005025F8">
        <w:t>citizens.</w:t>
      </w:r>
    </w:p>
    <w:p w:rsidR="00085520" w:rsidRPr="005025F8" w:rsidRDefault="004D5147" w:rsidP="00194BAF">
      <w:pPr>
        <w:pStyle w:val="Heading5"/>
      </w:pPr>
      <w:r w:rsidRPr="005025F8">
        <w:lastRenderedPageBreak/>
        <w:t>Best practice 2:</w:t>
      </w:r>
      <w:r w:rsidR="00D731A6" w:rsidRPr="005025F8">
        <w:t xml:space="preserve"> </w:t>
      </w:r>
      <w:r>
        <w:t>D</w:t>
      </w:r>
      <w:r w:rsidRPr="005025F8">
        <w:t>igital id as a foundational service</w:t>
      </w:r>
    </w:p>
    <w:p w:rsidR="00085520" w:rsidRPr="005025F8" w:rsidRDefault="00085520" w:rsidP="005025F8">
      <w:pPr>
        <w:pStyle w:val="BodyText"/>
      </w:pPr>
      <w:r w:rsidRPr="005025F8">
        <w:t>Digital ID is a foundation service for digital government.</w:t>
      </w:r>
      <w:r w:rsidR="005025F8">
        <w:t xml:space="preserve"> </w:t>
      </w:r>
      <w:r w:rsidRPr="005025F8">
        <w:t>For example, Estonia’s road to the adoption of</w:t>
      </w:r>
      <w:r w:rsidR="005025F8">
        <w:t xml:space="preserve"> </w:t>
      </w:r>
      <w:r w:rsidRPr="005025F8">
        <w:t>digital IDs began with national ID cards, digital</w:t>
      </w:r>
      <w:r w:rsidR="005025F8">
        <w:t xml:space="preserve"> </w:t>
      </w:r>
      <w:r w:rsidRPr="005025F8">
        <w:t>signatures, and electronic voting functionality, which</w:t>
      </w:r>
      <w:r w:rsidR="005025F8">
        <w:t xml:space="preserve"> </w:t>
      </w:r>
      <w:r w:rsidRPr="005025F8">
        <w:t>has incrementally expanded over time to 99% of</w:t>
      </w:r>
      <w:r w:rsidR="005025F8">
        <w:t xml:space="preserve"> </w:t>
      </w:r>
      <w:r w:rsidRPr="005025F8">
        <w:t>citizens. Also, SingPass provides foundational</w:t>
      </w:r>
      <w:r w:rsidR="005025F8">
        <w:t xml:space="preserve"> </w:t>
      </w:r>
      <w:r w:rsidRPr="005025F8">
        <w:t>national digital ID infrastructure for Singapore,</w:t>
      </w:r>
      <w:r w:rsidR="005025F8">
        <w:t xml:space="preserve"> </w:t>
      </w:r>
      <w:r w:rsidRPr="005025F8">
        <w:t>covering 97% of citizens older than 15 years.</w:t>
      </w:r>
    </w:p>
    <w:p w:rsidR="00085520" w:rsidRPr="005025F8" w:rsidRDefault="004D5147" w:rsidP="00194BAF">
      <w:pPr>
        <w:pStyle w:val="Heading5"/>
      </w:pPr>
      <w:r w:rsidRPr="005025F8">
        <w:t xml:space="preserve">Best practice 3: </w:t>
      </w:r>
      <w:r>
        <w:t>S</w:t>
      </w:r>
      <w:r w:rsidRPr="005025F8">
        <w:t>afeguard citizen data</w:t>
      </w:r>
    </w:p>
    <w:p w:rsidR="00085520" w:rsidRPr="005025F8" w:rsidRDefault="00085520" w:rsidP="005025F8">
      <w:pPr>
        <w:pStyle w:val="BodyText"/>
      </w:pPr>
      <w:r w:rsidRPr="005025F8">
        <w:t>The US IRS has remained immune to large-scale</w:t>
      </w:r>
      <w:r w:rsidR="005025F8">
        <w:t xml:space="preserve"> </w:t>
      </w:r>
      <w:r w:rsidRPr="005025F8">
        <w:t>cyber breaches due to its commitment to cyber</w:t>
      </w:r>
      <w:r w:rsidR="005025F8">
        <w:t xml:space="preserve"> </w:t>
      </w:r>
      <w:r w:rsidRPr="005025F8">
        <w:t>protections and gov't wide mitigation strategies.</w:t>
      </w:r>
      <w:r w:rsidR="005025F8">
        <w:t xml:space="preserve"> </w:t>
      </w:r>
      <w:r w:rsidRPr="005025F8">
        <w:t>They employ a variety of advanced cyber strategies</w:t>
      </w:r>
      <w:r w:rsidR="005025F8">
        <w:t xml:space="preserve"> </w:t>
      </w:r>
      <w:r w:rsidRPr="005025F8">
        <w:t>including zero trust privilege, continuous diagnostics</w:t>
      </w:r>
      <w:r w:rsidR="005025F8">
        <w:t xml:space="preserve"> </w:t>
      </w:r>
      <w:r w:rsidRPr="005025F8">
        <w:t>and monitoring, data-at-rest encryption (DARE),</w:t>
      </w:r>
      <w:r w:rsidR="005025F8">
        <w:t xml:space="preserve"> </w:t>
      </w:r>
      <w:r w:rsidRPr="005025F8">
        <w:t>network segmentation, and advanced analytics with</w:t>
      </w:r>
      <w:r w:rsidR="005025F8">
        <w:t xml:space="preserve"> </w:t>
      </w:r>
      <w:r w:rsidRPr="005025F8">
        <w:t>modern software tooling across an enterprise threat</w:t>
      </w:r>
      <w:r w:rsidR="005025F8">
        <w:t xml:space="preserve"> </w:t>
      </w:r>
      <w:r w:rsidRPr="005025F8">
        <w:t>intelligence platform.</w:t>
      </w:r>
    </w:p>
    <w:p w:rsidR="00085520" w:rsidRPr="005025F8" w:rsidRDefault="004D5147" w:rsidP="00194BAF">
      <w:pPr>
        <w:pStyle w:val="Heading5"/>
      </w:pPr>
      <w:r w:rsidRPr="005025F8">
        <w:t>Best practice 4:</w:t>
      </w:r>
      <w:r w:rsidR="00D731A6" w:rsidRPr="005025F8">
        <w:t xml:space="preserve"> </w:t>
      </w:r>
      <w:r>
        <w:t>I</w:t>
      </w:r>
      <w:r w:rsidRPr="005025F8">
        <w:t>ntegration with the private sector</w:t>
      </w:r>
    </w:p>
    <w:p w:rsidR="00085520" w:rsidRPr="005025F8" w:rsidRDefault="00085520" w:rsidP="005025F8">
      <w:pPr>
        <w:pStyle w:val="BodyText"/>
      </w:pPr>
      <w:r w:rsidRPr="005025F8">
        <w:t>Opportunities should be considered to integrate</w:t>
      </w:r>
      <w:r w:rsidR="005025F8">
        <w:t xml:space="preserve"> </w:t>
      </w:r>
      <w:r w:rsidRPr="005025F8">
        <w:t>digital ID with the private sector. For example,</w:t>
      </w:r>
      <w:r w:rsidR="005025F8">
        <w:t xml:space="preserve"> </w:t>
      </w:r>
      <w:r w:rsidRPr="005025F8">
        <w:t>Denmark's NemID digital solution is mandated for</w:t>
      </w:r>
      <w:r w:rsidR="005025F8">
        <w:t xml:space="preserve"> </w:t>
      </w:r>
      <w:r w:rsidRPr="005025F8">
        <w:t>digital post services and provides access to both</w:t>
      </w:r>
      <w:r w:rsidR="005025F8">
        <w:t xml:space="preserve"> </w:t>
      </w:r>
      <w:r w:rsidRPr="005025F8">
        <w:t>government services and online banking/services.</w:t>
      </w:r>
      <w:r w:rsidR="005025F8">
        <w:t xml:space="preserve"> </w:t>
      </w:r>
      <w:r w:rsidRPr="005025F8">
        <w:t>Multiple identity exchanges are not required. Only</w:t>
      </w:r>
      <w:r w:rsidR="005025F8">
        <w:t xml:space="preserve"> </w:t>
      </w:r>
      <w:r w:rsidRPr="005025F8">
        <w:t>one exchange is needed because this is a natural</w:t>
      </w:r>
      <w:r w:rsidR="005025F8">
        <w:t xml:space="preserve"> </w:t>
      </w:r>
      <w:r w:rsidRPr="005025F8">
        <w:t>monopoly, and could be run by the government or a</w:t>
      </w:r>
      <w:r w:rsidR="005025F8">
        <w:t xml:space="preserve"> </w:t>
      </w:r>
      <w:r w:rsidRPr="005025F8">
        <w:t>private sector entity with appropriate regulations.</w:t>
      </w:r>
    </w:p>
    <w:p w:rsidR="00085520" w:rsidRPr="005025F8" w:rsidRDefault="004D5147" w:rsidP="00194BAF">
      <w:pPr>
        <w:pStyle w:val="Heading5"/>
      </w:pPr>
      <w:r w:rsidRPr="005025F8">
        <w:t xml:space="preserve">Best practice deep dive: </w:t>
      </w:r>
      <w:r>
        <w:t>D</w:t>
      </w:r>
      <w:r w:rsidRPr="005025F8">
        <w:t>igital identity and single sign-on</w:t>
      </w:r>
    </w:p>
    <w:p w:rsidR="00085520" w:rsidRDefault="00085520" w:rsidP="005025F8">
      <w:pPr>
        <w:pStyle w:val="BodyText"/>
        <w:rPr>
          <w:lang w:eastAsia="en-AU"/>
        </w:rPr>
      </w:pPr>
      <w:r>
        <w:rPr>
          <w:lang w:eastAsia="en-AU"/>
        </w:rPr>
        <w:t>Australia should adopt best practices from best</w:t>
      </w:r>
      <w:r w:rsidR="005025F8">
        <w:rPr>
          <w:lang w:eastAsia="en-AU"/>
        </w:rPr>
        <w:t xml:space="preserve"> </w:t>
      </w:r>
      <w:r>
        <w:rPr>
          <w:lang w:eastAsia="en-AU"/>
        </w:rPr>
        <w:t>practice exemplars. More than one identity provider</w:t>
      </w:r>
      <w:r w:rsidR="005025F8">
        <w:rPr>
          <w:lang w:eastAsia="en-AU"/>
        </w:rPr>
        <w:t xml:space="preserve"> </w:t>
      </w:r>
      <w:r>
        <w:rPr>
          <w:lang w:eastAsia="en-AU"/>
        </w:rPr>
        <w:t>is required to meet the needs and preferences of all</w:t>
      </w:r>
      <w:r w:rsidR="005025F8">
        <w:rPr>
          <w:lang w:eastAsia="en-AU"/>
        </w:rPr>
        <w:t xml:space="preserve"> </w:t>
      </w:r>
      <w:r>
        <w:rPr>
          <w:lang w:eastAsia="en-AU"/>
        </w:rPr>
        <w:t>Australians. Many Australian citizens prefer to have</w:t>
      </w:r>
      <w:r w:rsidR="005025F8">
        <w:rPr>
          <w:lang w:eastAsia="en-AU"/>
        </w:rPr>
        <w:t xml:space="preserve"> </w:t>
      </w:r>
      <w:r>
        <w:rPr>
          <w:lang w:eastAsia="en-AU"/>
        </w:rPr>
        <w:t>more than one digital ID, often because they want to</w:t>
      </w:r>
      <w:r w:rsidR="005025F8">
        <w:rPr>
          <w:lang w:eastAsia="en-AU"/>
        </w:rPr>
        <w:t xml:space="preserve"> </w:t>
      </w:r>
      <w:r>
        <w:rPr>
          <w:lang w:eastAsia="en-AU"/>
        </w:rPr>
        <w:t>keep their government and industry transactions</w:t>
      </w:r>
      <w:r w:rsidR="005025F8">
        <w:rPr>
          <w:lang w:eastAsia="en-AU"/>
        </w:rPr>
        <w:t xml:space="preserve"> </w:t>
      </w:r>
      <w:r>
        <w:rPr>
          <w:lang w:eastAsia="en-AU"/>
        </w:rPr>
        <w:t>separate. A single exchange, either government operated</w:t>
      </w:r>
      <w:r w:rsidR="005025F8">
        <w:rPr>
          <w:lang w:eastAsia="en-AU"/>
        </w:rPr>
        <w:t xml:space="preserve"> </w:t>
      </w:r>
      <w:r>
        <w:rPr>
          <w:lang w:eastAsia="en-AU"/>
        </w:rPr>
        <w:t>or regulated, is the optimal solution as this function</w:t>
      </w:r>
      <w:r w:rsidR="005025F8">
        <w:rPr>
          <w:lang w:eastAsia="en-AU"/>
        </w:rPr>
        <w:t xml:space="preserve"> </w:t>
      </w:r>
      <w:r>
        <w:rPr>
          <w:lang w:eastAsia="en-AU"/>
        </w:rPr>
        <w:t>is a natural monopoly, and we are not aware of</w:t>
      </w:r>
      <w:r w:rsidR="005025F8">
        <w:rPr>
          <w:lang w:eastAsia="en-AU"/>
        </w:rPr>
        <w:t xml:space="preserve"> </w:t>
      </w:r>
      <w:r>
        <w:rPr>
          <w:lang w:eastAsia="en-AU"/>
        </w:rPr>
        <w:t>any other exemplar government that uses multiple</w:t>
      </w:r>
      <w:r w:rsidR="005025F8">
        <w:rPr>
          <w:lang w:eastAsia="en-AU"/>
        </w:rPr>
        <w:t xml:space="preserve"> </w:t>
      </w:r>
      <w:r>
        <w:rPr>
          <w:lang w:eastAsia="en-AU"/>
        </w:rPr>
        <w:t>exchanges, as this adds unnecessary complexity and</w:t>
      </w:r>
      <w:r w:rsidR="005025F8">
        <w:rPr>
          <w:lang w:eastAsia="en-AU"/>
        </w:rPr>
        <w:t xml:space="preserve"> </w:t>
      </w:r>
      <w:r>
        <w:rPr>
          <w:lang w:eastAsia="en-AU"/>
        </w:rPr>
        <w:t>creates potential interoperability issues. Australia’s</w:t>
      </w:r>
      <w:r w:rsidR="005025F8">
        <w:rPr>
          <w:lang w:eastAsia="en-AU"/>
        </w:rPr>
        <w:t xml:space="preserve"> </w:t>
      </w:r>
      <w:r>
        <w:rPr>
          <w:lang w:eastAsia="en-AU"/>
        </w:rPr>
        <w:t>Trusted Digital Identity Framework (TDIF) should be</w:t>
      </w:r>
      <w:r w:rsidR="005025F8">
        <w:rPr>
          <w:lang w:eastAsia="en-AU"/>
        </w:rPr>
        <w:t xml:space="preserve"> </w:t>
      </w:r>
      <w:r>
        <w:rPr>
          <w:lang w:eastAsia="en-AU"/>
        </w:rPr>
        <w:t>operationalised through legislation to enable</w:t>
      </w:r>
      <w:r w:rsidR="005025F8">
        <w:rPr>
          <w:lang w:eastAsia="en-AU"/>
        </w:rPr>
        <w:t xml:space="preserve"> </w:t>
      </w:r>
      <w:r>
        <w:rPr>
          <w:lang w:eastAsia="en-AU"/>
        </w:rPr>
        <w:t>reliance and liability arrangements and an appropriate</w:t>
      </w:r>
      <w:r w:rsidR="005025F8">
        <w:rPr>
          <w:lang w:eastAsia="en-AU"/>
        </w:rPr>
        <w:t xml:space="preserve"> </w:t>
      </w:r>
      <w:r>
        <w:rPr>
          <w:lang w:eastAsia="en-AU"/>
        </w:rPr>
        <w:t>fees and charging model. Finally, a more collaborative</w:t>
      </w:r>
      <w:r w:rsidR="005025F8">
        <w:rPr>
          <w:lang w:eastAsia="en-AU"/>
        </w:rPr>
        <w:t xml:space="preserve"> </w:t>
      </w:r>
      <w:r>
        <w:rPr>
          <w:lang w:eastAsia="en-AU"/>
        </w:rPr>
        <w:t>governance structure that involves public and</w:t>
      </w:r>
      <w:r w:rsidR="005025F8">
        <w:rPr>
          <w:lang w:eastAsia="en-AU"/>
        </w:rPr>
        <w:t xml:space="preserve"> </w:t>
      </w:r>
      <w:r>
        <w:rPr>
          <w:lang w:eastAsia="en-AU"/>
        </w:rPr>
        <w:t>private sector including digital ID providers and</w:t>
      </w:r>
      <w:r w:rsidR="005025F8">
        <w:rPr>
          <w:lang w:eastAsia="en-AU"/>
        </w:rPr>
        <w:t xml:space="preserve"> </w:t>
      </w:r>
      <w:r>
        <w:rPr>
          <w:lang w:eastAsia="en-AU"/>
        </w:rPr>
        <w:t>relying parties would also be preferable.</w:t>
      </w:r>
    </w:p>
    <w:p w:rsidR="00085520" w:rsidRDefault="005025F8" w:rsidP="00194BAF">
      <w:pPr>
        <w:pStyle w:val="Heading3"/>
        <w:rPr>
          <w:lang w:eastAsia="en-AU"/>
        </w:rPr>
      </w:pPr>
      <w:r>
        <w:rPr>
          <w:lang w:eastAsia="en-AU"/>
        </w:rPr>
        <w:t xml:space="preserve">3.4. Focus area 4: Gov works for everyone </w:t>
      </w:r>
    </w:p>
    <w:p w:rsidR="00085520" w:rsidRDefault="00085520" w:rsidP="005025F8">
      <w:pPr>
        <w:pStyle w:val="BodyText"/>
        <w:rPr>
          <w:lang w:eastAsia="en-AU"/>
        </w:rPr>
      </w:pPr>
      <w:r>
        <w:rPr>
          <w:lang w:eastAsia="en-AU"/>
        </w:rPr>
        <w:t>While digital government solutions can have a</w:t>
      </w:r>
      <w:r w:rsidR="005025F8">
        <w:rPr>
          <w:lang w:eastAsia="en-AU"/>
        </w:rPr>
        <w:t xml:space="preserve"> </w:t>
      </w:r>
      <w:r>
        <w:rPr>
          <w:lang w:eastAsia="en-AU"/>
        </w:rPr>
        <w:t>tremendous impact on the speed and quality of</w:t>
      </w:r>
      <w:r w:rsidR="005025F8">
        <w:rPr>
          <w:lang w:eastAsia="en-AU"/>
        </w:rPr>
        <w:t xml:space="preserve"> </w:t>
      </w:r>
      <w:r>
        <w:rPr>
          <w:lang w:eastAsia="en-AU"/>
        </w:rPr>
        <w:t>service delivery, governments must design with</w:t>
      </w:r>
      <w:r w:rsidR="005025F8">
        <w:rPr>
          <w:lang w:eastAsia="en-AU"/>
        </w:rPr>
        <w:t xml:space="preserve"> </w:t>
      </w:r>
      <w:r>
        <w:rPr>
          <w:lang w:eastAsia="en-AU"/>
        </w:rPr>
        <w:t>digital equity, accessibility, and inclusion in mind to</w:t>
      </w:r>
      <w:r w:rsidR="005025F8">
        <w:rPr>
          <w:lang w:eastAsia="en-AU"/>
        </w:rPr>
        <w:t xml:space="preserve"> </w:t>
      </w:r>
      <w:r>
        <w:rPr>
          <w:lang w:eastAsia="en-AU"/>
        </w:rPr>
        <w:t>ensure that no citizen is left behind. Used correctly,</w:t>
      </w:r>
      <w:r w:rsidR="005025F8">
        <w:rPr>
          <w:lang w:eastAsia="en-AU"/>
        </w:rPr>
        <w:t xml:space="preserve"> </w:t>
      </w:r>
      <w:r>
        <w:rPr>
          <w:lang w:eastAsia="en-AU"/>
        </w:rPr>
        <w:t>digital technologies and service delivery can</w:t>
      </w:r>
      <w:r w:rsidR="005025F8">
        <w:rPr>
          <w:lang w:eastAsia="en-AU"/>
        </w:rPr>
        <w:t xml:space="preserve"> </w:t>
      </w:r>
      <w:r>
        <w:rPr>
          <w:lang w:eastAsia="en-AU"/>
        </w:rPr>
        <w:t>increase equity by connecting citizens and vulnerable</w:t>
      </w:r>
      <w:r w:rsidR="005025F8">
        <w:rPr>
          <w:lang w:eastAsia="en-AU"/>
        </w:rPr>
        <w:t xml:space="preserve"> </w:t>
      </w:r>
      <w:r>
        <w:rPr>
          <w:lang w:eastAsia="en-AU"/>
        </w:rPr>
        <w:t>cohorts with the government in ways not possible</w:t>
      </w:r>
      <w:r w:rsidR="005025F8">
        <w:rPr>
          <w:lang w:eastAsia="en-AU"/>
        </w:rPr>
        <w:t xml:space="preserve"> </w:t>
      </w:r>
      <w:r>
        <w:rPr>
          <w:lang w:eastAsia="en-AU"/>
        </w:rPr>
        <w:t>through traditional methods.</w:t>
      </w:r>
    </w:p>
    <w:p w:rsidR="00085520" w:rsidRDefault="00085520" w:rsidP="005025F8">
      <w:pPr>
        <w:pStyle w:val="BodyText"/>
        <w:rPr>
          <w:lang w:eastAsia="en-AU"/>
        </w:rPr>
      </w:pPr>
      <w:r>
        <w:rPr>
          <w:lang w:eastAsia="en-AU"/>
        </w:rPr>
        <w:t>Various approaches exist to extend digital capabilities</w:t>
      </w:r>
      <w:r w:rsidR="005025F8">
        <w:rPr>
          <w:lang w:eastAsia="en-AU"/>
        </w:rPr>
        <w:t xml:space="preserve"> </w:t>
      </w:r>
      <w:r>
        <w:rPr>
          <w:lang w:eastAsia="en-AU"/>
        </w:rPr>
        <w:t>to the largest percentage of the population</w:t>
      </w:r>
      <w:r w:rsidR="005025F8">
        <w:rPr>
          <w:lang w:eastAsia="en-AU"/>
        </w:rPr>
        <w:t xml:space="preserve"> </w:t>
      </w:r>
      <w:r>
        <w:rPr>
          <w:lang w:eastAsia="en-AU"/>
        </w:rPr>
        <w:t>possible, including ways for people to act as trusted</w:t>
      </w:r>
      <w:r w:rsidR="005025F8">
        <w:rPr>
          <w:lang w:eastAsia="en-AU"/>
        </w:rPr>
        <w:t xml:space="preserve"> </w:t>
      </w:r>
      <w:r>
        <w:rPr>
          <w:lang w:eastAsia="en-AU"/>
        </w:rPr>
        <w:t>helpers on another person’s behalf, improved</w:t>
      </w:r>
      <w:r w:rsidR="005025F8">
        <w:rPr>
          <w:lang w:eastAsia="en-AU"/>
        </w:rPr>
        <w:t xml:space="preserve"> </w:t>
      </w:r>
      <w:r>
        <w:rPr>
          <w:lang w:eastAsia="en-AU"/>
        </w:rPr>
        <w:t>transparency and explain-ability of decisions made</w:t>
      </w:r>
      <w:r w:rsidR="005025F8">
        <w:rPr>
          <w:lang w:eastAsia="en-AU"/>
        </w:rPr>
        <w:t xml:space="preserve"> </w:t>
      </w:r>
      <w:r>
        <w:rPr>
          <w:lang w:eastAsia="en-AU"/>
        </w:rPr>
        <w:t>and redirection to alternative tools and channels</w:t>
      </w:r>
      <w:r w:rsidR="005025F8">
        <w:rPr>
          <w:lang w:eastAsia="en-AU"/>
        </w:rPr>
        <w:t xml:space="preserve"> </w:t>
      </w:r>
      <w:r>
        <w:rPr>
          <w:lang w:eastAsia="en-AU"/>
        </w:rPr>
        <w:t>when digital options are unavailable. Exhibit 4 summarises</w:t>
      </w:r>
      <w:r w:rsidR="005025F8">
        <w:rPr>
          <w:lang w:eastAsia="en-AU"/>
        </w:rPr>
        <w:t xml:space="preserve"> </w:t>
      </w:r>
      <w:r>
        <w:rPr>
          <w:lang w:eastAsia="en-AU"/>
        </w:rPr>
        <w:t>these best practices and exemplary global</w:t>
      </w:r>
      <w:r w:rsidR="005025F8">
        <w:rPr>
          <w:lang w:eastAsia="en-AU"/>
        </w:rPr>
        <w:t xml:space="preserve"> </w:t>
      </w:r>
      <w:r>
        <w:rPr>
          <w:lang w:eastAsia="en-AU"/>
        </w:rPr>
        <w:t>government initiatives.</w:t>
      </w:r>
    </w:p>
    <w:p w:rsidR="00085520" w:rsidRDefault="005025F8" w:rsidP="00194BAF">
      <w:pPr>
        <w:pStyle w:val="Heading4"/>
        <w:rPr>
          <w:lang w:eastAsia="en-AU"/>
        </w:rPr>
      </w:pPr>
      <w:r>
        <w:rPr>
          <w:lang w:eastAsia="en-AU"/>
        </w:rPr>
        <w:t xml:space="preserve">Exhibit 4: </w:t>
      </w:r>
      <w:r w:rsidR="004D5147">
        <w:rPr>
          <w:lang w:eastAsia="en-AU"/>
        </w:rPr>
        <w:t>my</w:t>
      </w:r>
      <w:r w:rsidR="00085520">
        <w:rPr>
          <w:lang w:eastAsia="en-AU"/>
        </w:rPr>
        <w:t>Gov works for everyone – best practice and exemplars</w:t>
      </w:r>
    </w:p>
    <w:p w:rsidR="004D1F33" w:rsidRDefault="004D1F33" w:rsidP="004D1F33">
      <w:pPr>
        <w:pStyle w:val="Heading5"/>
        <w:rPr>
          <w:lang w:eastAsia="en-AU"/>
        </w:rPr>
      </w:pPr>
      <w:r>
        <w:rPr>
          <w:lang w:eastAsia="en-AU"/>
        </w:rPr>
        <w:t>Best practices</w:t>
      </w:r>
    </w:p>
    <w:p w:rsidR="004D1F33" w:rsidRDefault="004D1F33" w:rsidP="004D1F33">
      <w:pPr>
        <w:pStyle w:val="BodyText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lastRenderedPageBreak/>
        <w:t>Design with digital equity and inclusion in mind for vulnerable users to ensure that services are digitally accessible to a wide user base</w:t>
      </w:r>
    </w:p>
    <w:p w:rsidR="004D1F33" w:rsidRDefault="004D1F33" w:rsidP="004D1F33">
      <w:pPr>
        <w:pStyle w:val="BodyText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Develop methods for trusted individuals to act on others behalf and provide assistance to those who are digitally challenged</w:t>
      </w:r>
    </w:p>
    <w:p w:rsidR="004D1F33" w:rsidRDefault="004D1F33" w:rsidP="004D1F33">
      <w:pPr>
        <w:pStyle w:val="BodyText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Increase decision-making transparency and explain ability by embedding ethical principles into system design</w:t>
      </w:r>
    </w:p>
    <w:p w:rsidR="004D1F33" w:rsidRPr="004D1F33" w:rsidRDefault="004D1F33" w:rsidP="004D1F33">
      <w:pPr>
        <w:pStyle w:val="BodyText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Provide alternative tools and channels when standard digital channel is unavailable and ensure that users have complimentary service/channel options</w:t>
      </w:r>
    </w:p>
    <w:p w:rsidR="004D1F33" w:rsidRDefault="004D1F33" w:rsidP="004D1F33">
      <w:pPr>
        <w:pStyle w:val="Heading5"/>
        <w:rPr>
          <w:lang w:eastAsia="en-AU"/>
        </w:rPr>
      </w:pPr>
      <w:r>
        <w:rPr>
          <w:lang w:eastAsia="en-AU"/>
        </w:rPr>
        <w:t>Exemplars</w:t>
      </w:r>
    </w:p>
    <w:p w:rsidR="004D1F33" w:rsidRDefault="004D1F33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Singapore Singpass and LifeSG</w:t>
      </w:r>
    </w:p>
    <w:p w:rsidR="004D1F33" w:rsidRDefault="004D1F33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Denmark</w:t>
      </w:r>
    </w:p>
    <w:p w:rsidR="004D1F33" w:rsidRDefault="004D1F33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GOV.UK</w:t>
      </w:r>
    </w:p>
    <w:p w:rsidR="004D1F33" w:rsidRDefault="004D1F33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Telstra</w:t>
      </w:r>
    </w:p>
    <w:p w:rsidR="004D1F33" w:rsidRDefault="004D1F33" w:rsidP="00CC561B">
      <w:pPr>
        <w:pStyle w:val="ListParagraph"/>
        <w:numPr>
          <w:ilvl w:val="1"/>
          <w:numId w:val="27"/>
        </w:numPr>
        <w:rPr>
          <w:lang w:eastAsia="en-AU"/>
        </w:rPr>
      </w:pPr>
      <w:r>
        <w:rPr>
          <w:lang w:eastAsia="en-AU"/>
        </w:rPr>
        <w:t>BCG-MT Sloan Responsible AI Survey (2022)</w:t>
      </w:r>
    </w:p>
    <w:p w:rsidR="004D1F33" w:rsidRDefault="004D1F33" w:rsidP="00CC561B">
      <w:pPr>
        <w:pStyle w:val="ListParagraph"/>
        <w:numPr>
          <w:ilvl w:val="1"/>
          <w:numId w:val="27"/>
        </w:numPr>
        <w:rPr>
          <w:lang w:eastAsia="en-AU"/>
        </w:rPr>
      </w:pPr>
      <w:r>
        <w:rPr>
          <w:lang w:eastAsia="en-AU"/>
        </w:rPr>
        <w:t>UN Development Programme (UNDP) Digital Strategy</w:t>
      </w:r>
    </w:p>
    <w:p w:rsidR="004D1F33" w:rsidRDefault="004D1F33" w:rsidP="004D1F33">
      <w:pPr>
        <w:rPr>
          <w:i/>
          <w:lang w:eastAsia="en-AU"/>
        </w:rPr>
      </w:pPr>
    </w:p>
    <w:p w:rsidR="004D1F33" w:rsidRPr="00EF73B9" w:rsidRDefault="004D1F33" w:rsidP="004D1F33">
      <w:pPr>
        <w:rPr>
          <w:i/>
          <w:lang w:eastAsia="en-AU"/>
        </w:rPr>
      </w:pPr>
      <w:r w:rsidRPr="00EF73B9">
        <w:rPr>
          <w:i/>
          <w:lang w:eastAsia="en-AU"/>
        </w:rPr>
        <w:t>Source: BCG research and analysis</w:t>
      </w:r>
    </w:p>
    <w:p w:rsidR="004D1F33" w:rsidRPr="004D1F33" w:rsidRDefault="004D1F33" w:rsidP="004D1F33">
      <w:pPr>
        <w:rPr>
          <w:lang w:eastAsia="en-AU"/>
        </w:rPr>
      </w:pPr>
    </w:p>
    <w:p w:rsidR="00085520" w:rsidRPr="005025F8" w:rsidRDefault="005025F8" w:rsidP="00194BAF">
      <w:pPr>
        <w:pStyle w:val="Heading5"/>
      </w:pPr>
      <w:r w:rsidRPr="005025F8">
        <w:t xml:space="preserve">Best practice </w:t>
      </w:r>
      <w:r w:rsidR="00085520" w:rsidRPr="005025F8">
        <w:t>1:</w:t>
      </w:r>
      <w:r w:rsidRPr="005025F8">
        <w:t xml:space="preserve"> </w:t>
      </w:r>
      <w:r>
        <w:t>D</w:t>
      </w:r>
      <w:r w:rsidRPr="005025F8">
        <w:t>igital equity and inclusion</w:t>
      </w:r>
    </w:p>
    <w:p w:rsidR="00085520" w:rsidRPr="005025F8" w:rsidRDefault="00085520" w:rsidP="005025F8">
      <w:pPr>
        <w:pStyle w:val="BodyText"/>
      </w:pPr>
      <w:r w:rsidRPr="005025F8">
        <w:t>Designing for equity and inclusion is important for any platform</w:t>
      </w:r>
      <w:r w:rsidR="005025F8">
        <w:t xml:space="preserve"> </w:t>
      </w:r>
      <w:r w:rsidRPr="005025F8">
        <w:t>looking to coverage across the full citizen population. For example,</w:t>
      </w:r>
      <w:r w:rsidR="005025F8">
        <w:t xml:space="preserve"> </w:t>
      </w:r>
      <w:r w:rsidRPr="005025F8">
        <w:t>the success of the Danish borger.dk portal is driven by broader</w:t>
      </w:r>
      <w:r w:rsidR="005025F8">
        <w:t xml:space="preserve"> </w:t>
      </w:r>
      <w:r w:rsidRPr="005025F8">
        <w:t>societal efforts and mandates to promote digital inclusion and web</w:t>
      </w:r>
      <w:r w:rsidR="005025F8">
        <w:t xml:space="preserve"> </w:t>
      </w:r>
      <w:r w:rsidRPr="005025F8">
        <w:t>accessibility. The Danish government engages vulnerable cohorts</w:t>
      </w:r>
      <w:r w:rsidR="005025F8">
        <w:t xml:space="preserve"> </w:t>
      </w:r>
      <w:r w:rsidRPr="005025F8">
        <w:t>to uncover new ways of engagement, creates educational materials</w:t>
      </w:r>
      <w:r w:rsidR="005025F8">
        <w:t xml:space="preserve"> </w:t>
      </w:r>
      <w:r w:rsidRPr="005025F8">
        <w:t>to drive digital literacy, and created its own website accessibility act</w:t>
      </w:r>
      <w:r w:rsidR="005025F8">
        <w:t xml:space="preserve"> </w:t>
      </w:r>
      <w:r w:rsidRPr="005025F8">
        <w:t>to augment requirements from similar EU directives.</w:t>
      </w:r>
    </w:p>
    <w:p w:rsidR="00085520" w:rsidRPr="005025F8" w:rsidRDefault="005025F8" w:rsidP="00194BAF">
      <w:pPr>
        <w:pStyle w:val="Heading5"/>
      </w:pPr>
      <w:r>
        <w:t>Best practice 2: T</w:t>
      </w:r>
      <w:r w:rsidRPr="005025F8">
        <w:t>rusted individuals to act on other’s behalf</w:t>
      </w:r>
    </w:p>
    <w:p w:rsidR="00085520" w:rsidRPr="005025F8" w:rsidRDefault="00085520" w:rsidP="005025F8">
      <w:pPr>
        <w:pStyle w:val="BodyText"/>
      </w:pPr>
      <w:r w:rsidRPr="005025F8">
        <w:t>A key service required from the government is the ability of a trusted</w:t>
      </w:r>
      <w:r w:rsidR="005025F8">
        <w:t xml:space="preserve"> </w:t>
      </w:r>
      <w:r w:rsidRPr="005025F8">
        <w:t>individual to act on another person’s behalf. For example, the UK</w:t>
      </w:r>
      <w:r w:rsidR="005025F8">
        <w:t xml:space="preserve"> </w:t>
      </w:r>
      <w:r w:rsidRPr="005025F8">
        <w:t>has developed a "trusted helper" mechanism where individuals can</w:t>
      </w:r>
      <w:r w:rsidR="005025F8">
        <w:t xml:space="preserve"> </w:t>
      </w:r>
      <w:r w:rsidRPr="005025F8">
        <w:t>nominate family or friends to assist with tax activities. This allows</w:t>
      </w:r>
      <w:r w:rsidR="005025F8">
        <w:t xml:space="preserve"> </w:t>
      </w:r>
      <w:r w:rsidRPr="005025F8">
        <w:t>friends or family members to aid in tax administration, with the</w:t>
      </w:r>
      <w:r w:rsidR="005025F8">
        <w:t xml:space="preserve"> </w:t>
      </w:r>
      <w:r w:rsidRPr="005025F8">
        <w:t>potential to scale to other service groups.</w:t>
      </w:r>
    </w:p>
    <w:p w:rsidR="00085520" w:rsidRPr="005025F8" w:rsidRDefault="0037198D" w:rsidP="00194BAF">
      <w:pPr>
        <w:pStyle w:val="Heading5"/>
      </w:pPr>
      <w:r w:rsidRPr="005025F8">
        <w:t>Best practice 3:</w:t>
      </w:r>
      <w:r w:rsidR="005025F8" w:rsidRPr="005025F8">
        <w:t xml:space="preserve"> </w:t>
      </w:r>
      <w:r>
        <w:t>D</w:t>
      </w:r>
      <w:r w:rsidRPr="005025F8">
        <w:t>ecision-making transparency</w:t>
      </w:r>
    </w:p>
    <w:p w:rsidR="00085520" w:rsidRPr="005025F8" w:rsidRDefault="00085520" w:rsidP="005025F8">
      <w:pPr>
        <w:pStyle w:val="BodyText"/>
      </w:pPr>
      <w:r w:rsidRPr="005025F8">
        <w:t>Citizens need to understand how and why a digital</w:t>
      </w:r>
      <w:r w:rsidR="005025F8">
        <w:t xml:space="preserve"> </w:t>
      </w:r>
      <w:r w:rsidRPr="005025F8">
        <w:t>solution operates. These principles are foundational</w:t>
      </w:r>
      <w:r w:rsidR="005025F8">
        <w:t xml:space="preserve"> </w:t>
      </w:r>
      <w:r w:rsidRPr="005025F8">
        <w:t>to the emerging topic of Responsible AI (RAI) which</w:t>
      </w:r>
      <w:r w:rsidR="005025F8">
        <w:t xml:space="preserve"> </w:t>
      </w:r>
      <w:r w:rsidRPr="005025F8">
        <w:t>is meant to ensure that AI systems align with organisation</w:t>
      </w:r>
      <w:r w:rsidR="005025F8">
        <w:t xml:space="preserve"> </w:t>
      </w:r>
      <w:r w:rsidRPr="005025F8">
        <w:t>values and respect the rights and privacy of</w:t>
      </w:r>
      <w:r w:rsidR="005025F8">
        <w:t xml:space="preserve"> </w:t>
      </w:r>
      <w:r w:rsidRPr="005025F8">
        <w:t>citizens and customers; a BCG-MIT Sloan survey</w:t>
      </w:r>
      <w:r w:rsidR="005025F8">
        <w:t xml:space="preserve"> </w:t>
      </w:r>
      <w:r w:rsidRPr="005025F8">
        <w:t>across the private sector shows that work still needs</w:t>
      </w:r>
      <w:r w:rsidR="005025F8">
        <w:t xml:space="preserve"> </w:t>
      </w:r>
      <w:r w:rsidRPr="005025F8">
        <w:t>to be done – 52% of organisations claim to have a</w:t>
      </w:r>
      <w:r w:rsidR="005025F8">
        <w:t xml:space="preserve"> </w:t>
      </w:r>
      <w:r w:rsidRPr="005025F8">
        <w:t>RAI program in place, but 79% claim it is not fully</w:t>
      </w:r>
      <w:r w:rsidR="005025F8">
        <w:t xml:space="preserve"> </w:t>
      </w:r>
      <w:r w:rsidRPr="005025F8">
        <w:t>realised, and while 42% of orgs view AI as a top priority,</w:t>
      </w:r>
      <w:r w:rsidR="005025F8">
        <w:t xml:space="preserve"> </w:t>
      </w:r>
      <w:r w:rsidRPr="005025F8">
        <w:t>only 19% view their RAI initiatives as being fully</w:t>
      </w:r>
      <w:r w:rsidR="005025F8">
        <w:t xml:space="preserve"> </w:t>
      </w:r>
      <w:r w:rsidRPr="005025F8">
        <w:t>implemented.</w:t>
      </w:r>
    </w:p>
    <w:p w:rsidR="00085520" w:rsidRPr="005025F8" w:rsidRDefault="0037198D" w:rsidP="00194BAF">
      <w:pPr>
        <w:pStyle w:val="Heading5"/>
      </w:pPr>
      <w:r w:rsidRPr="005025F8">
        <w:t>Best practice 4:</w:t>
      </w:r>
      <w:r w:rsidR="005025F8" w:rsidRPr="005025F8">
        <w:t xml:space="preserve"> </w:t>
      </w:r>
      <w:r>
        <w:t>A</w:t>
      </w:r>
      <w:r w:rsidRPr="005025F8">
        <w:t>lternative tools and channels</w:t>
      </w:r>
    </w:p>
    <w:p w:rsidR="00085520" w:rsidRPr="005025F8" w:rsidRDefault="00085520" w:rsidP="005025F8">
      <w:pPr>
        <w:pStyle w:val="BodyText"/>
      </w:pPr>
      <w:r w:rsidRPr="005025F8">
        <w:t>When standard digital channels do not work, alternatives</w:t>
      </w:r>
      <w:r w:rsidR="005025F8">
        <w:t xml:space="preserve"> </w:t>
      </w:r>
      <w:r w:rsidRPr="005025F8">
        <w:t>need to be provided. For example, Telstra has</w:t>
      </w:r>
      <w:r w:rsidR="005025F8">
        <w:t xml:space="preserve"> </w:t>
      </w:r>
      <w:r w:rsidRPr="005025F8">
        <w:t>invested in improving service accessibility across the</w:t>
      </w:r>
      <w:r w:rsidR="005025F8">
        <w:t xml:space="preserve"> </w:t>
      </w:r>
      <w:r w:rsidRPr="005025F8">
        <w:t>population by developing translation and multilingual</w:t>
      </w:r>
      <w:r w:rsidR="005025F8">
        <w:t xml:space="preserve"> </w:t>
      </w:r>
      <w:r w:rsidRPr="005025F8">
        <w:t>services. As part of this, Telstra created an</w:t>
      </w:r>
      <w:r w:rsidR="005025F8">
        <w:t xml:space="preserve"> </w:t>
      </w:r>
      <w:r w:rsidRPr="005025F8">
        <w:t>‘access for everyone’ program designed to increase</w:t>
      </w:r>
      <w:r w:rsidR="005025F8">
        <w:t xml:space="preserve"> </w:t>
      </w:r>
      <w:r w:rsidRPr="005025F8">
        <w:t>access to traditionally underserved communities.</w:t>
      </w:r>
    </w:p>
    <w:p w:rsidR="00085520" w:rsidRDefault="00085520" w:rsidP="00194BAF">
      <w:pPr>
        <w:pStyle w:val="Heading3"/>
        <w:rPr>
          <w:lang w:eastAsia="en-AU"/>
        </w:rPr>
      </w:pPr>
      <w:r w:rsidRPr="0037198D">
        <w:lastRenderedPageBreak/>
        <w:t>3.5. Focus area 5:</w:t>
      </w:r>
      <w:r w:rsidR="0037198D">
        <w:t xml:space="preserve"> Modern delivery engine</w:t>
      </w:r>
    </w:p>
    <w:p w:rsidR="00085520" w:rsidRPr="0037198D" w:rsidRDefault="00085520" w:rsidP="0037198D">
      <w:pPr>
        <w:pStyle w:val="BodyText"/>
      </w:pPr>
      <w:r w:rsidRPr="0037198D">
        <w:t>To deliver a best-in-class citizen experience, myGov</w:t>
      </w:r>
      <w:r w:rsidR="0037198D">
        <w:t xml:space="preserve"> </w:t>
      </w:r>
      <w:r w:rsidRPr="0037198D">
        <w:t>needs to develop a modern technology architecture</w:t>
      </w:r>
      <w:r w:rsidR="0037198D">
        <w:t xml:space="preserve"> </w:t>
      </w:r>
      <w:r w:rsidRPr="0037198D">
        <w:t>that leverages cutting-edge technologies. These</w:t>
      </w:r>
      <w:r w:rsidR="0037198D">
        <w:t xml:space="preserve"> </w:t>
      </w:r>
      <w:r w:rsidRPr="0037198D">
        <w:t>include, API interfaces for easy integrations across</w:t>
      </w:r>
      <w:r w:rsidR="0037198D">
        <w:t xml:space="preserve"> </w:t>
      </w:r>
      <w:r w:rsidRPr="0037198D">
        <w:t>different levels of government and across jurisdictions,</w:t>
      </w:r>
      <w:r w:rsidR="0037198D">
        <w:t xml:space="preserve"> </w:t>
      </w:r>
      <w:r w:rsidRPr="0037198D">
        <w:t>cloud delivery models that significantly</w:t>
      </w:r>
      <w:r w:rsidR="0037198D">
        <w:t xml:space="preserve"> </w:t>
      </w:r>
      <w:r w:rsidRPr="0037198D">
        <w:t>reduce operating expenses, and modern cybersecurity</w:t>
      </w:r>
      <w:r w:rsidR="0037198D">
        <w:t xml:space="preserve"> </w:t>
      </w:r>
      <w:r w:rsidRPr="0037198D">
        <w:t>practices.</w:t>
      </w:r>
    </w:p>
    <w:p w:rsidR="00085520" w:rsidRPr="0037198D" w:rsidRDefault="00085520" w:rsidP="0037198D">
      <w:pPr>
        <w:pStyle w:val="BodyText"/>
      </w:pPr>
      <w:r w:rsidRPr="0037198D">
        <w:t>The future roadmap for myGov should also prioritise</w:t>
      </w:r>
      <w:r w:rsidR="0037198D">
        <w:t xml:space="preserve"> </w:t>
      </w:r>
      <w:r w:rsidRPr="0037198D">
        <w:t>the use of modular, open and reusable architecture</w:t>
      </w:r>
      <w:r w:rsidR="0037198D">
        <w:t xml:space="preserve"> </w:t>
      </w:r>
      <w:r w:rsidRPr="0037198D">
        <w:t>components to increase the speed of delivery</w:t>
      </w:r>
      <w:r w:rsidR="0037198D">
        <w:t xml:space="preserve"> </w:t>
      </w:r>
      <w:r w:rsidRPr="0037198D">
        <w:t>for new enhancements and agile software delivery</w:t>
      </w:r>
      <w:r w:rsidR="0037198D">
        <w:t xml:space="preserve"> </w:t>
      </w:r>
      <w:r w:rsidRPr="0037198D">
        <w:t>methodologies to increase platform scalability,</w:t>
      </w:r>
      <w:r w:rsidR="0037198D">
        <w:t xml:space="preserve"> </w:t>
      </w:r>
      <w:r w:rsidRPr="0037198D">
        <w:t>resilience, and interoperability. Exhibit 5 outlines</w:t>
      </w:r>
      <w:r w:rsidR="0037198D">
        <w:t xml:space="preserve"> </w:t>
      </w:r>
      <w:r w:rsidRPr="0037198D">
        <w:t>the best practices for technology in citizen service</w:t>
      </w:r>
      <w:r w:rsidR="0037198D">
        <w:t xml:space="preserve"> </w:t>
      </w:r>
      <w:r w:rsidRPr="0037198D">
        <w:t>delivery portals, supported by global case studies.</w:t>
      </w:r>
    </w:p>
    <w:p w:rsidR="00085520" w:rsidRDefault="00085520" w:rsidP="00194BAF">
      <w:pPr>
        <w:pStyle w:val="Heading4"/>
      </w:pPr>
      <w:r w:rsidRPr="0037198D">
        <w:t>Exhibit 5: Modern delivery engine – best practice and exemplars</w:t>
      </w:r>
    </w:p>
    <w:p w:rsidR="004D1F33" w:rsidRDefault="004D1F33" w:rsidP="004D1F33">
      <w:pPr>
        <w:pStyle w:val="Heading5"/>
        <w:rPr>
          <w:lang w:eastAsia="en-AU"/>
        </w:rPr>
      </w:pPr>
      <w:r>
        <w:rPr>
          <w:lang w:eastAsia="en-AU"/>
        </w:rPr>
        <w:t>Best practices</w:t>
      </w:r>
    </w:p>
    <w:p w:rsidR="004D1F33" w:rsidRDefault="004D1F33" w:rsidP="004D1F33">
      <w:pPr>
        <w:pStyle w:val="BodyText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Build and open, modular and sustainable portal architecture by employing loosely coupled API based components that can be reused</w:t>
      </w:r>
    </w:p>
    <w:p w:rsidR="004D1F33" w:rsidRDefault="004D1F33" w:rsidP="004D1F33">
      <w:pPr>
        <w:pStyle w:val="BodyText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Promote interop ability to enable a “tell us once” capability and ensure that portal connects across govt depts to reduce user duplication</w:t>
      </w:r>
    </w:p>
    <w:p w:rsidR="004D1F33" w:rsidRPr="004D1F33" w:rsidRDefault="004D1F33" w:rsidP="004D1F33">
      <w:pPr>
        <w:pStyle w:val="BodyText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Build dashboards to monitor key operational performance metrics and develop a single pane of glass view to improve auditability and drive continuous improvement</w:t>
      </w:r>
    </w:p>
    <w:p w:rsidR="004D1F33" w:rsidRDefault="004D1F33" w:rsidP="004D1F33">
      <w:pPr>
        <w:pStyle w:val="Heading5"/>
        <w:rPr>
          <w:lang w:eastAsia="en-AU"/>
        </w:rPr>
      </w:pPr>
      <w:r>
        <w:rPr>
          <w:lang w:eastAsia="en-AU"/>
        </w:rPr>
        <w:t>Exemplars</w:t>
      </w:r>
    </w:p>
    <w:p w:rsidR="004D1F33" w:rsidRDefault="004D1F33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Estonia X-Road</w:t>
      </w:r>
    </w:p>
    <w:p w:rsidR="004D1F33" w:rsidRDefault="004D1F33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Sin</w:t>
      </w:r>
      <w:r>
        <w:rPr>
          <w:lang w:eastAsia="en-AU"/>
        </w:rPr>
        <w:t>apore Singpass</w:t>
      </w:r>
    </w:p>
    <w:p w:rsidR="006266AE" w:rsidRDefault="006266AE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Service Oklahoma</w:t>
      </w:r>
    </w:p>
    <w:p w:rsidR="006266AE" w:rsidRDefault="006266AE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Spotify</w:t>
      </w:r>
    </w:p>
    <w:p w:rsidR="006266AE" w:rsidRDefault="006266AE" w:rsidP="004D1F33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Netflix</w:t>
      </w:r>
    </w:p>
    <w:p w:rsidR="004D1F33" w:rsidRDefault="006266AE" w:rsidP="006266AE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Apple</w:t>
      </w:r>
    </w:p>
    <w:p w:rsidR="004D1F33" w:rsidRDefault="004D1F33" w:rsidP="004D1F33">
      <w:pPr>
        <w:rPr>
          <w:i/>
          <w:lang w:eastAsia="en-AU"/>
        </w:rPr>
      </w:pPr>
    </w:p>
    <w:p w:rsidR="004D1F33" w:rsidRPr="00EF73B9" w:rsidRDefault="004D1F33" w:rsidP="004D1F33">
      <w:pPr>
        <w:rPr>
          <w:i/>
          <w:lang w:eastAsia="en-AU"/>
        </w:rPr>
      </w:pPr>
      <w:r w:rsidRPr="00EF73B9">
        <w:rPr>
          <w:i/>
          <w:lang w:eastAsia="en-AU"/>
        </w:rPr>
        <w:t>Source: BCG research and analysis</w:t>
      </w:r>
    </w:p>
    <w:p w:rsidR="004D1F33" w:rsidRPr="004D1F33" w:rsidRDefault="004D1F33" w:rsidP="004D1F33"/>
    <w:p w:rsidR="00085520" w:rsidRPr="0037198D" w:rsidRDefault="0037198D" w:rsidP="00194BAF">
      <w:pPr>
        <w:pStyle w:val="Heading5"/>
      </w:pPr>
      <w:r w:rsidRPr="0037198D">
        <w:t>Best practice 1:</w:t>
      </w:r>
      <w:r w:rsidR="005025F8" w:rsidRPr="0037198D">
        <w:t xml:space="preserve"> </w:t>
      </w:r>
      <w:r>
        <w:t>O</w:t>
      </w:r>
      <w:r w:rsidRPr="0037198D">
        <w:t>pen and modern architecture</w:t>
      </w:r>
    </w:p>
    <w:p w:rsidR="00085520" w:rsidRPr="0037198D" w:rsidRDefault="00085520" w:rsidP="0037198D">
      <w:pPr>
        <w:pStyle w:val="BodyText"/>
      </w:pPr>
      <w:r w:rsidRPr="0037198D">
        <w:t>An open and modular architecture is required to address the</w:t>
      </w:r>
      <w:r w:rsidR="0037198D">
        <w:t xml:space="preserve"> </w:t>
      </w:r>
      <w:r w:rsidRPr="0037198D">
        <w:t>complex nature of government services. For example, Singpass in</w:t>
      </w:r>
      <w:r w:rsidR="0037198D">
        <w:t xml:space="preserve"> </w:t>
      </w:r>
      <w:r w:rsidRPr="0037198D">
        <w:t>Singapore is built on an open and modular architecture with a suite</w:t>
      </w:r>
      <w:r w:rsidR="0037198D">
        <w:t xml:space="preserve"> </w:t>
      </w:r>
      <w:r w:rsidRPr="0037198D">
        <w:t>of available APIs and integration with the national digital infrastructure</w:t>
      </w:r>
      <w:r w:rsidR="0037198D">
        <w:t xml:space="preserve"> </w:t>
      </w:r>
      <w:r w:rsidRPr="0037198D">
        <w:t>and data mesh. A publicly available API catalogue was developed</w:t>
      </w:r>
      <w:r w:rsidR="0037198D">
        <w:t xml:space="preserve"> </w:t>
      </w:r>
      <w:r w:rsidRPr="0037198D">
        <w:t>for use by both the private and public sector, which has been</w:t>
      </w:r>
      <w:r w:rsidR="0037198D">
        <w:t xml:space="preserve"> </w:t>
      </w:r>
      <w:r w:rsidRPr="0037198D">
        <w:t>leveraged by banks and credit card companies with significant</w:t>
      </w:r>
      <w:r w:rsidR="0037198D">
        <w:t xml:space="preserve"> </w:t>
      </w:r>
      <w:r w:rsidRPr="0037198D">
        <w:t>bottom-line impacts and customer success improvements.</w:t>
      </w:r>
    </w:p>
    <w:p w:rsidR="00085520" w:rsidRPr="0037198D" w:rsidRDefault="0037198D" w:rsidP="00194BAF">
      <w:pPr>
        <w:pStyle w:val="Heading5"/>
      </w:pPr>
      <w:r w:rsidRPr="0037198D">
        <w:t>Best practice 2:</w:t>
      </w:r>
      <w:r w:rsidR="005025F8" w:rsidRPr="0037198D">
        <w:t xml:space="preserve"> </w:t>
      </w:r>
      <w:r>
        <w:t>I</w:t>
      </w:r>
      <w:r w:rsidRPr="0037198D">
        <w:t>nteroperability and ‘tell us once’</w:t>
      </w:r>
    </w:p>
    <w:p w:rsidR="00085520" w:rsidRPr="0037198D" w:rsidRDefault="00085520" w:rsidP="0037198D">
      <w:pPr>
        <w:pStyle w:val="BodyText"/>
      </w:pPr>
      <w:r w:rsidRPr="0037198D">
        <w:t>Reducing citizen duplication has significant benefits for users and</w:t>
      </w:r>
      <w:r w:rsidR="0037198D">
        <w:t xml:space="preserve"> </w:t>
      </w:r>
      <w:r w:rsidRPr="0037198D">
        <w:t>staff. For example, Estonia developed a secure data exchange</w:t>
      </w:r>
      <w:r w:rsidR="0037198D">
        <w:t xml:space="preserve"> </w:t>
      </w:r>
      <w:r w:rsidRPr="0037198D">
        <w:t>platform (X-road) to enable interoperability and replication of data</w:t>
      </w:r>
      <w:r w:rsidR="0037198D">
        <w:t xml:space="preserve"> </w:t>
      </w:r>
      <w:r w:rsidRPr="0037198D">
        <w:t>shared by a citizen. Use of X-road has been estimated to save over</w:t>
      </w:r>
      <w:r w:rsidR="0037198D">
        <w:t xml:space="preserve"> </w:t>
      </w:r>
      <w:r w:rsidRPr="0037198D">
        <w:t>1,000 years of working time saved last year (2021) and has led to</w:t>
      </w:r>
      <w:r w:rsidR="0037198D">
        <w:t xml:space="preserve"> </w:t>
      </w:r>
      <w:r w:rsidRPr="0037198D">
        <w:t>99% of services being available digitally, 98% penetration of ID cards</w:t>
      </w:r>
      <w:r w:rsidR="0037198D">
        <w:t xml:space="preserve"> </w:t>
      </w:r>
      <w:r w:rsidRPr="0037198D">
        <w:t>and over 52,000 organisations as indirect users. In 2020, Finland</w:t>
      </w:r>
      <w:r w:rsidR="0037198D">
        <w:t xml:space="preserve"> </w:t>
      </w:r>
      <w:r w:rsidRPr="0037198D">
        <w:t>and Estonia launched an automated data exchange to link their</w:t>
      </w:r>
      <w:r w:rsidR="0037198D">
        <w:t xml:space="preserve"> </w:t>
      </w:r>
      <w:r w:rsidRPr="0037198D">
        <w:t>population registries using X-road as the underlying technology</w:t>
      </w:r>
      <w:r w:rsidR="0037198D">
        <w:t xml:space="preserve"> </w:t>
      </w:r>
      <w:r w:rsidRPr="0037198D">
        <w:t>backbone.</w:t>
      </w:r>
    </w:p>
    <w:p w:rsidR="00085520" w:rsidRPr="0037198D" w:rsidRDefault="0037198D" w:rsidP="00194BAF">
      <w:pPr>
        <w:pStyle w:val="Heading5"/>
      </w:pPr>
      <w:r>
        <w:lastRenderedPageBreak/>
        <w:t>Best practice 3: D</w:t>
      </w:r>
      <w:r w:rsidRPr="0037198D">
        <w:t>ashboard</w:t>
      </w:r>
      <w:r w:rsidR="005025F8" w:rsidRPr="0037198D">
        <w:t xml:space="preserve"> </w:t>
      </w:r>
      <w:r w:rsidRPr="0037198D">
        <w:t>for operational performance</w:t>
      </w:r>
    </w:p>
    <w:p w:rsidR="00085520" w:rsidRPr="0037198D" w:rsidRDefault="00085520" w:rsidP="0037198D">
      <w:pPr>
        <w:pStyle w:val="BodyText"/>
      </w:pPr>
      <w:r w:rsidRPr="0037198D">
        <w:t>Delivery of operational services should be monitored through an</w:t>
      </w:r>
      <w:r w:rsidR="0037198D">
        <w:t xml:space="preserve"> </w:t>
      </w:r>
      <w:r w:rsidRPr="0037198D">
        <w:t>easy-to-use dashboard. For example, Service Oklahoma developed a</w:t>
      </w:r>
      <w:r w:rsidR="0037198D">
        <w:t xml:space="preserve"> </w:t>
      </w:r>
      <w:r w:rsidRPr="0037198D">
        <w:t>modern, nine-layer platform architecture designed with a Data and</w:t>
      </w:r>
      <w:r w:rsidR="0037198D">
        <w:t xml:space="preserve"> </w:t>
      </w:r>
      <w:r w:rsidRPr="0037198D">
        <w:t>Digital Platform construct in mind. It also includes features to view</w:t>
      </w:r>
      <w:r w:rsidR="0037198D">
        <w:t xml:space="preserve"> </w:t>
      </w:r>
      <w:r w:rsidRPr="0037198D">
        <w:t>operational and performance metrics in real-time.</w:t>
      </w:r>
    </w:p>
    <w:p w:rsidR="00085520" w:rsidRPr="0037198D" w:rsidRDefault="0037198D" w:rsidP="00194BAF">
      <w:pPr>
        <w:pStyle w:val="Heading5"/>
      </w:pPr>
      <w:r>
        <w:t>3.6. Focus area 6: What is needed to get there</w:t>
      </w:r>
    </w:p>
    <w:p w:rsidR="00085520" w:rsidRPr="0037198D" w:rsidRDefault="00085520" w:rsidP="0037198D">
      <w:pPr>
        <w:pStyle w:val="BodyText"/>
      </w:pPr>
      <w:r w:rsidRPr="0037198D">
        <w:t>To capture the benefits of myGov platform</w:t>
      </w:r>
      <w:r w:rsidR="0037198D">
        <w:t xml:space="preserve"> </w:t>
      </w:r>
      <w:r w:rsidRPr="0037198D">
        <w:t>there needs to be a clear understanding of</w:t>
      </w:r>
      <w:r w:rsidR="0037198D">
        <w:t xml:space="preserve"> </w:t>
      </w:r>
      <w:r w:rsidRPr="0037198D">
        <w:t>how to get to the future state, with a roadmap</w:t>
      </w:r>
      <w:r w:rsidR="0037198D">
        <w:t xml:space="preserve"> </w:t>
      </w:r>
      <w:r w:rsidRPr="0037198D">
        <w:t>that clearly outlines foundational</w:t>
      </w:r>
      <w:r w:rsidR="0037198D">
        <w:t xml:space="preserve"> </w:t>
      </w:r>
      <w:r w:rsidRPr="0037198D">
        <w:t>capabilities, dependencies, governance</w:t>
      </w:r>
      <w:r w:rsidR="0037198D">
        <w:t xml:space="preserve"> </w:t>
      </w:r>
      <w:r w:rsidRPr="0037198D">
        <w:t>structures and funding mechanisms. A</w:t>
      </w:r>
      <w:r w:rsidR="0037198D">
        <w:t xml:space="preserve"> </w:t>
      </w:r>
      <w:r w:rsidRPr="0037198D">
        <w:t>clear service charter is also needed that</w:t>
      </w:r>
      <w:r w:rsidR="0037198D">
        <w:t xml:space="preserve"> </w:t>
      </w:r>
      <w:r w:rsidRPr="0037198D">
        <w:t>outlines mandates and responsibilities for</w:t>
      </w:r>
      <w:r w:rsidR="0037198D">
        <w:t xml:space="preserve"> </w:t>
      </w:r>
      <w:r w:rsidRPr="0037198D">
        <w:t>the central digital agency and supporting</w:t>
      </w:r>
      <w:r w:rsidR="0037198D">
        <w:t xml:space="preserve"> </w:t>
      </w:r>
      <w:r w:rsidRPr="0037198D">
        <w:t>departments to deliver on the future state</w:t>
      </w:r>
      <w:r w:rsidR="0037198D">
        <w:t xml:space="preserve"> </w:t>
      </w:r>
      <w:r w:rsidRPr="0037198D">
        <w:t>vision. Funding should be reimagined in</w:t>
      </w:r>
      <w:r w:rsidR="0037198D">
        <w:t xml:space="preserve"> </w:t>
      </w:r>
      <w:r w:rsidRPr="0037198D">
        <w:t>line with agile software development best</w:t>
      </w:r>
      <w:r w:rsidR="0037198D">
        <w:t xml:space="preserve"> </w:t>
      </w:r>
      <w:r w:rsidRPr="0037198D">
        <w:t>practices. Shown below in Exhibit 6 are the</w:t>
      </w:r>
      <w:r w:rsidR="0037198D">
        <w:t xml:space="preserve"> </w:t>
      </w:r>
      <w:r w:rsidRPr="0037198D">
        <w:t>main takeaways and best practices identified,</w:t>
      </w:r>
      <w:r w:rsidR="0037198D">
        <w:t xml:space="preserve"> </w:t>
      </w:r>
      <w:r w:rsidRPr="0037198D">
        <w:t>with supporting public and private</w:t>
      </w:r>
      <w:r w:rsidR="0037198D">
        <w:t xml:space="preserve"> </w:t>
      </w:r>
      <w:r w:rsidRPr="0037198D">
        <w:t>sector best practices.</w:t>
      </w:r>
    </w:p>
    <w:p w:rsidR="00085520" w:rsidRDefault="00085520" w:rsidP="00194BAF">
      <w:pPr>
        <w:pStyle w:val="Heading4"/>
      </w:pPr>
      <w:r w:rsidRPr="0037198D">
        <w:t>Exhibit 6: What is needed to get there – best practice and exemplars</w:t>
      </w:r>
    </w:p>
    <w:p w:rsidR="006266AE" w:rsidRDefault="006266AE" w:rsidP="006266AE">
      <w:pPr>
        <w:pStyle w:val="Heading5"/>
        <w:rPr>
          <w:lang w:eastAsia="en-AU"/>
        </w:rPr>
      </w:pPr>
      <w:r>
        <w:rPr>
          <w:lang w:eastAsia="en-AU"/>
        </w:rPr>
        <w:t>Best practices</w:t>
      </w:r>
    </w:p>
    <w:p w:rsidR="006266AE" w:rsidRDefault="006266AE" w:rsidP="006266AE">
      <w:pPr>
        <w:pStyle w:val="BodyText"/>
        <w:numPr>
          <w:ilvl w:val="0"/>
          <w:numId w:val="32"/>
        </w:numPr>
        <w:rPr>
          <w:lang w:eastAsia="en-AU"/>
        </w:rPr>
      </w:pPr>
      <w:r>
        <w:rPr>
          <w:lang w:eastAsia="en-AU"/>
        </w:rPr>
        <w:t>Fund myGov as a persistent digital product/service with an agile funding and governance model</w:t>
      </w:r>
    </w:p>
    <w:p w:rsidR="006266AE" w:rsidRDefault="006266AE" w:rsidP="006266AE">
      <w:pPr>
        <w:pStyle w:val="BodyText"/>
        <w:numPr>
          <w:ilvl w:val="0"/>
          <w:numId w:val="32"/>
        </w:numPr>
        <w:rPr>
          <w:lang w:eastAsia="en-AU"/>
        </w:rPr>
      </w:pPr>
      <w:r>
        <w:rPr>
          <w:lang w:eastAsia="en-AU"/>
        </w:rPr>
        <w:t>Recalibrate funding and assurance to enable digital projects/programs to be delivered in a more agile way</w:t>
      </w:r>
    </w:p>
    <w:p w:rsidR="006266AE" w:rsidRPr="006266AE" w:rsidRDefault="006266AE" w:rsidP="006266AE">
      <w:pPr>
        <w:pStyle w:val="BodyText"/>
        <w:numPr>
          <w:ilvl w:val="0"/>
          <w:numId w:val="32"/>
        </w:numPr>
        <w:rPr>
          <w:lang w:eastAsia="en-AU"/>
        </w:rPr>
      </w:pPr>
      <w:r>
        <w:rPr>
          <w:lang w:eastAsia="en-AU"/>
        </w:rPr>
        <w:t>Prioritization and alignment to whole-of-government strategy is vital to ensure investment is optimised, with ongoing funding ties to periodic reviews</w:t>
      </w:r>
    </w:p>
    <w:p w:rsidR="006266AE" w:rsidRDefault="006266AE" w:rsidP="006266AE">
      <w:pPr>
        <w:pStyle w:val="Heading5"/>
        <w:rPr>
          <w:lang w:eastAsia="en-AU"/>
        </w:rPr>
      </w:pPr>
      <w:r>
        <w:rPr>
          <w:lang w:eastAsia="en-AU"/>
        </w:rPr>
        <w:t>Exemplars</w:t>
      </w:r>
    </w:p>
    <w:p w:rsidR="006266AE" w:rsidRDefault="006266AE" w:rsidP="006266AE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South Korea</w:t>
      </w:r>
    </w:p>
    <w:p w:rsidR="006266AE" w:rsidRDefault="006266AE" w:rsidP="006266AE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UK</w:t>
      </w:r>
    </w:p>
    <w:p w:rsidR="006266AE" w:rsidRDefault="006266AE" w:rsidP="006266AE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Singapore</w:t>
      </w:r>
      <w:bookmarkStart w:id="0" w:name="_GoBack"/>
      <w:bookmarkEnd w:id="0"/>
    </w:p>
    <w:p w:rsidR="006266AE" w:rsidRDefault="006266AE" w:rsidP="006266AE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Services NSW</w:t>
      </w:r>
    </w:p>
    <w:p w:rsidR="006266AE" w:rsidRDefault="006266AE" w:rsidP="006266AE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Australian Bank</w:t>
      </w:r>
    </w:p>
    <w:p w:rsidR="006266AE" w:rsidRDefault="006266AE" w:rsidP="006266AE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Australian Airline</w:t>
      </w:r>
    </w:p>
    <w:p w:rsidR="006266AE" w:rsidRDefault="006266AE" w:rsidP="006266AE">
      <w:pPr>
        <w:rPr>
          <w:i/>
          <w:lang w:eastAsia="en-AU"/>
        </w:rPr>
      </w:pPr>
    </w:p>
    <w:p w:rsidR="006266AE" w:rsidRPr="00EF73B9" w:rsidRDefault="006266AE" w:rsidP="006266AE">
      <w:pPr>
        <w:rPr>
          <w:i/>
          <w:lang w:eastAsia="en-AU"/>
        </w:rPr>
      </w:pPr>
      <w:r w:rsidRPr="00EF73B9">
        <w:rPr>
          <w:i/>
          <w:lang w:eastAsia="en-AU"/>
        </w:rPr>
        <w:t>Source: BCG research and analysis</w:t>
      </w:r>
    </w:p>
    <w:p w:rsidR="006266AE" w:rsidRPr="006266AE" w:rsidRDefault="006266AE" w:rsidP="006266AE"/>
    <w:p w:rsidR="00085520" w:rsidRPr="0037198D" w:rsidRDefault="0037198D" w:rsidP="00194BAF">
      <w:pPr>
        <w:pStyle w:val="Heading5"/>
      </w:pPr>
      <w:r w:rsidRPr="0037198D">
        <w:t>Best practice 1:</w:t>
      </w:r>
      <w:r w:rsidR="005025F8" w:rsidRPr="0037198D">
        <w:t xml:space="preserve"> </w:t>
      </w:r>
      <w:r>
        <w:t>F</w:t>
      </w:r>
      <w:r w:rsidRPr="0037198D">
        <w:t>und as a persistent digital product/service</w:t>
      </w:r>
    </w:p>
    <w:p w:rsidR="00085520" w:rsidRPr="0037198D" w:rsidRDefault="00085520" w:rsidP="0037198D">
      <w:pPr>
        <w:pStyle w:val="BodyText"/>
      </w:pPr>
      <w:r w:rsidRPr="0037198D">
        <w:t>A permanent digital product/service funding model is required. For example,</w:t>
      </w:r>
      <w:r w:rsidR="0037198D">
        <w:t xml:space="preserve"> </w:t>
      </w:r>
      <w:r w:rsidRPr="0037198D">
        <w:t>an Australian bank transitioned from funding discrete projects to funding</w:t>
      </w:r>
      <w:r w:rsidR="0037198D">
        <w:t xml:space="preserve"> </w:t>
      </w:r>
      <w:r w:rsidRPr="0037198D">
        <w:t>persistent capacity-based teams, which streamlined their funding</w:t>
      </w:r>
      <w:r w:rsidR="0037198D">
        <w:t xml:space="preserve"> </w:t>
      </w:r>
      <w:r w:rsidRPr="0037198D">
        <w:t>processes. They also adopted a quarterly review process for adjusting funding</w:t>
      </w:r>
      <w:r w:rsidR="0037198D">
        <w:t xml:space="preserve"> </w:t>
      </w:r>
      <w:r w:rsidRPr="0037198D">
        <w:t>over time and continuously reprioritise a backlog of features.</w:t>
      </w:r>
    </w:p>
    <w:p w:rsidR="00085520" w:rsidRPr="0037198D" w:rsidRDefault="0037198D" w:rsidP="00194BAF">
      <w:pPr>
        <w:pStyle w:val="Heading5"/>
      </w:pPr>
      <w:r w:rsidRPr="0037198D">
        <w:t>Best practice 2:</w:t>
      </w:r>
      <w:r w:rsidR="005025F8" w:rsidRPr="0037198D">
        <w:t xml:space="preserve"> </w:t>
      </w:r>
      <w:r>
        <w:t>R</w:t>
      </w:r>
      <w:r w:rsidRPr="0037198D">
        <w:t>ecalibrate funding to improve agility</w:t>
      </w:r>
    </w:p>
    <w:p w:rsidR="0037198D" w:rsidRDefault="00085520" w:rsidP="0037198D">
      <w:pPr>
        <w:pStyle w:val="BodyText"/>
      </w:pPr>
      <w:r w:rsidRPr="0037198D">
        <w:t>An agile funding model for future enhancements is important. For example,</w:t>
      </w:r>
      <w:r w:rsidR="0037198D">
        <w:t xml:space="preserve"> </w:t>
      </w:r>
      <w:r w:rsidRPr="0037198D">
        <w:t>New South Wales established a dedicated Digital Restart Fund designed to</w:t>
      </w:r>
      <w:r w:rsidR="0037198D">
        <w:t xml:space="preserve"> </w:t>
      </w:r>
      <w:r w:rsidRPr="0037198D">
        <w:t>manage digital projects to improve outcomes. A holistic approach was used</w:t>
      </w:r>
      <w:r w:rsidR="0037198D">
        <w:t xml:space="preserve"> </w:t>
      </w:r>
      <w:r w:rsidRPr="0037198D">
        <w:t>to design and operate the fund considering questions such as how the fund</w:t>
      </w:r>
      <w:r w:rsidR="0037198D">
        <w:t xml:space="preserve"> </w:t>
      </w:r>
      <w:r w:rsidRPr="0037198D">
        <w:t>is financed, how it is evaluated, how to procure suppliers for short funding</w:t>
      </w:r>
      <w:r w:rsidR="0037198D">
        <w:t xml:space="preserve"> </w:t>
      </w:r>
      <w:r w:rsidRPr="0037198D">
        <w:t xml:space="preserve">cycles, how it leads to </w:t>
      </w:r>
      <w:r w:rsidRPr="0037198D">
        <w:lastRenderedPageBreak/>
        <w:t>lower cost pitches, how the fund is assured over time,</w:t>
      </w:r>
      <w:r w:rsidR="0037198D">
        <w:t xml:space="preserve"> </w:t>
      </w:r>
      <w:r w:rsidRPr="0037198D">
        <w:t>and how the investment pipeline should be structured for sustainability.</w:t>
      </w:r>
      <w:r w:rsidR="0037198D">
        <w:t xml:space="preserve"> </w:t>
      </w:r>
    </w:p>
    <w:p w:rsidR="00085520" w:rsidRPr="0037198D" w:rsidRDefault="0037198D" w:rsidP="00194BAF">
      <w:pPr>
        <w:pStyle w:val="Heading5"/>
      </w:pPr>
      <w:r w:rsidRPr="0037198D">
        <w:t>Best practice 3:</w:t>
      </w:r>
      <w:r w:rsidR="005025F8" w:rsidRPr="0037198D">
        <w:t xml:space="preserve"> </w:t>
      </w:r>
      <w:r>
        <w:t>A</w:t>
      </w:r>
      <w:r w:rsidRPr="0037198D">
        <w:t>lignment to the whole-of-government strategy</w:t>
      </w:r>
    </w:p>
    <w:p w:rsidR="00085520" w:rsidRPr="0037198D" w:rsidRDefault="00085520" w:rsidP="0037198D">
      <w:pPr>
        <w:pStyle w:val="BodyText"/>
      </w:pPr>
      <w:r w:rsidRPr="0037198D">
        <w:t>For delivery plans, it needs to be aligned with the whole-of-government</w:t>
      </w:r>
      <w:r w:rsidR="0037198D">
        <w:t xml:space="preserve"> </w:t>
      </w:r>
      <w:r w:rsidRPr="0037198D">
        <w:t>strategy. For example, an Australian airline funded delivery squads aligned</w:t>
      </w:r>
      <w:r w:rsidR="0037198D">
        <w:t xml:space="preserve"> </w:t>
      </w:r>
      <w:r w:rsidRPr="0037198D">
        <w:t>to organisational priorities and established transparent prioritisation criteria.</w:t>
      </w:r>
      <w:r w:rsidR="0037198D">
        <w:t xml:space="preserve"> </w:t>
      </w:r>
      <w:r w:rsidRPr="0037198D">
        <w:t>Rather than funding one large teams, they allocated funding to multiple</w:t>
      </w:r>
      <w:r w:rsidR="0037198D">
        <w:t xml:space="preserve"> </w:t>
      </w:r>
      <w:r w:rsidRPr="0037198D">
        <w:t>persistent user journey squads aligned to strategic priorities.</w:t>
      </w:r>
    </w:p>
    <w:p w:rsidR="00085520" w:rsidRPr="0037198D" w:rsidRDefault="00085520" w:rsidP="00194BAF">
      <w:pPr>
        <w:pStyle w:val="Heading2"/>
      </w:pPr>
      <w:r w:rsidRPr="0037198D">
        <w:t>4.</w:t>
      </w:r>
      <w:r w:rsidR="0037198D">
        <w:t xml:space="preserve"> </w:t>
      </w:r>
      <w:r w:rsidRPr="0037198D">
        <w:t>Conclusion</w:t>
      </w:r>
    </w:p>
    <w:p w:rsidR="00085520" w:rsidRDefault="00085520" w:rsidP="0037198D">
      <w:pPr>
        <w:pStyle w:val="BodyText"/>
        <w:rPr>
          <w:lang w:eastAsia="en-AU"/>
        </w:rPr>
      </w:pPr>
      <w:r>
        <w:rPr>
          <w:lang w:eastAsia="en-AU"/>
        </w:rPr>
        <w:t>To deliver a best practice experience for citizens, a clear plan is required to deliver the</w:t>
      </w:r>
      <w:r w:rsidR="0037198D">
        <w:rPr>
          <w:lang w:eastAsia="en-AU"/>
        </w:rPr>
        <w:t xml:space="preserve"> </w:t>
      </w:r>
      <w:r>
        <w:rPr>
          <w:lang w:eastAsia="en-AU"/>
        </w:rPr>
        <w:t>long-term vision. To build citizen trust in the platform and broader service delivery,</w:t>
      </w:r>
      <w:r w:rsidR="0037198D">
        <w:rPr>
          <w:lang w:eastAsia="en-AU"/>
        </w:rPr>
        <w:t xml:space="preserve"> </w:t>
      </w:r>
      <w:r>
        <w:rPr>
          <w:lang w:eastAsia="en-AU"/>
        </w:rPr>
        <w:t>the government should prioritise the delivery of secure, simple, and helpful services</w:t>
      </w:r>
      <w:r w:rsidR="0037198D">
        <w:rPr>
          <w:lang w:eastAsia="en-AU"/>
        </w:rPr>
        <w:t xml:space="preserve"> </w:t>
      </w:r>
      <w:r>
        <w:rPr>
          <w:lang w:eastAsia="en-AU"/>
        </w:rPr>
        <w:t>that promote fairness and transparency through all interaction points. Additionally,</w:t>
      </w:r>
      <w:r w:rsidR="0037198D">
        <w:rPr>
          <w:lang w:eastAsia="en-AU"/>
        </w:rPr>
        <w:t xml:space="preserve"> </w:t>
      </w:r>
      <w:r>
        <w:rPr>
          <w:lang w:eastAsia="en-AU"/>
        </w:rPr>
        <w:t>research and experience point towards a common set of six success factors to realise</w:t>
      </w:r>
      <w:r w:rsidR="0037198D">
        <w:rPr>
          <w:lang w:eastAsia="en-AU"/>
        </w:rPr>
        <w:t xml:space="preserve"> </w:t>
      </w:r>
      <w:r>
        <w:rPr>
          <w:lang w:eastAsia="en-AU"/>
        </w:rPr>
        <w:t>the governments’ digital transformation ambition (BCG Flipping the Odds of Digital</w:t>
      </w:r>
      <w:r w:rsidR="0037198D">
        <w:rPr>
          <w:lang w:eastAsia="en-AU"/>
        </w:rPr>
        <w:t xml:space="preserve"> </w:t>
      </w:r>
      <w:r>
        <w:rPr>
          <w:lang w:eastAsia="en-AU"/>
        </w:rPr>
        <w:t>Transformation Success 2022)</w:t>
      </w:r>
    </w:p>
    <w:p w:rsidR="00085520" w:rsidRDefault="00085520" w:rsidP="0037198D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An integrated strategy with clear transformation goals </w:t>
      </w:r>
      <w:r w:rsidR="0037198D">
        <w:rPr>
          <w:lang w:eastAsia="en-AU"/>
        </w:rPr>
        <w:t>–</w:t>
      </w:r>
      <w:r>
        <w:rPr>
          <w:lang w:eastAsia="en-AU"/>
        </w:rPr>
        <w:t xml:space="preserve"> Strategy describing the</w:t>
      </w:r>
      <w:r w:rsidR="0037198D">
        <w:rPr>
          <w:lang w:eastAsia="en-AU"/>
        </w:rPr>
        <w:t xml:space="preserve"> </w:t>
      </w:r>
      <w:r>
        <w:rPr>
          <w:lang w:eastAsia="en-AU"/>
        </w:rPr>
        <w:t>'why', 'what' and the 'how' tied to mission outcomes</w:t>
      </w:r>
    </w:p>
    <w:p w:rsidR="00085520" w:rsidRDefault="00085520" w:rsidP="0037198D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Leadership commitment from top down </w:t>
      </w:r>
      <w:r w:rsidR="0037198D">
        <w:rPr>
          <w:lang w:eastAsia="en-AU"/>
        </w:rPr>
        <w:t>–</w:t>
      </w:r>
      <w:r>
        <w:rPr>
          <w:lang w:eastAsia="en-AU"/>
        </w:rPr>
        <w:t xml:space="preserve"> High leadership engagement and</w:t>
      </w:r>
      <w:r w:rsidR="0037198D">
        <w:rPr>
          <w:lang w:eastAsia="en-AU"/>
        </w:rPr>
        <w:t xml:space="preserve"> </w:t>
      </w:r>
      <w:r>
        <w:rPr>
          <w:lang w:eastAsia="en-AU"/>
        </w:rPr>
        <w:t>prioritisation, including middle management ownership &amp; accountability</w:t>
      </w:r>
    </w:p>
    <w:p w:rsidR="00085520" w:rsidRDefault="0037198D" w:rsidP="0037198D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Deploying high-calibre talent – </w:t>
      </w:r>
      <w:r w:rsidR="00085520">
        <w:rPr>
          <w:lang w:eastAsia="en-AU"/>
        </w:rPr>
        <w:t>Most capable resources sourced and freed up to</w:t>
      </w:r>
      <w:r>
        <w:rPr>
          <w:lang w:eastAsia="en-AU"/>
        </w:rPr>
        <w:t xml:space="preserve"> </w:t>
      </w:r>
      <w:r w:rsidR="00085520">
        <w:rPr>
          <w:lang w:eastAsia="en-AU"/>
        </w:rPr>
        <w:t>drive transformation</w:t>
      </w:r>
    </w:p>
    <w:p w:rsidR="00085520" w:rsidRDefault="00085520" w:rsidP="0037198D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An agile governance mindse</w:t>
      </w:r>
      <w:r w:rsidR="0037198D">
        <w:rPr>
          <w:lang w:eastAsia="en-AU"/>
        </w:rPr>
        <w:t>t that drives broader adoption –</w:t>
      </w:r>
      <w:r>
        <w:rPr>
          <w:lang w:eastAsia="en-AU"/>
        </w:rPr>
        <w:t xml:space="preserve"> Showing perseverance,</w:t>
      </w:r>
      <w:r w:rsidR="0037198D">
        <w:rPr>
          <w:lang w:eastAsia="en-AU"/>
        </w:rPr>
        <w:t xml:space="preserve"> </w:t>
      </w:r>
      <w:r>
        <w:rPr>
          <w:lang w:eastAsia="en-AU"/>
        </w:rPr>
        <w:t>addressing roadblocks quickly, adapting to changcontextstext, driving</w:t>
      </w:r>
      <w:r w:rsidR="0037198D">
        <w:rPr>
          <w:lang w:eastAsia="en-AU"/>
        </w:rPr>
        <w:t xml:space="preserve"> </w:t>
      </w:r>
      <w:r>
        <w:rPr>
          <w:lang w:eastAsia="en-AU"/>
        </w:rPr>
        <w:t>cross-functional, fail-fast-learn behavioural change deeper into the organisation</w:t>
      </w:r>
    </w:p>
    <w:p w:rsidR="00085520" w:rsidRDefault="00085520" w:rsidP="0037198D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Effective monitoring of prog</w:t>
      </w:r>
      <w:r w:rsidR="0037198D">
        <w:rPr>
          <w:lang w:eastAsia="en-AU"/>
        </w:rPr>
        <w:t xml:space="preserve">ress towards defined outcomes – </w:t>
      </w:r>
      <w:r>
        <w:rPr>
          <w:lang w:eastAsia="en-AU"/>
        </w:rPr>
        <w:t>Clear metrics and</w:t>
      </w:r>
      <w:r w:rsidR="0037198D">
        <w:rPr>
          <w:lang w:eastAsia="en-AU"/>
        </w:rPr>
        <w:t xml:space="preserve"> </w:t>
      </w:r>
      <w:r>
        <w:rPr>
          <w:lang w:eastAsia="en-AU"/>
        </w:rPr>
        <w:t>targets around process and outcomes, with a high degree of data availability and</w:t>
      </w:r>
      <w:r w:rsidR="0037198D">
        <w:rPr>
          <w:lang w:eastAsia="en-AU"/>
        </w:rPr>
        <w:t xml:space="preserve"> </w:t>
      </w:r>
      <w:r>
        <w:rPr>
          <w:lang w:eastAsia="en-AU"/>
        </w:rPr>
        <w:t>quality</w:t>
      </w:r>
    </w:p>
    <w:p w:rsidR="00085520" w:rsidRDefault="00085520" w:rsidP="0037198D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Business-led modula</w:t>
      </w:r>
      <w:r w:rsidR="0037198D">
        <w:rPr>
          <w:lang w:eastAsia="en-AU"/>
        </w:rPr>
        <w:t>r technology and data platform –</w:t>
      </w:r>
      <w:r>
        <w:rPr>
          <w:lang w:eastAsia="en-AU"/>
        </w:rPr>
        <w:t xml:space="preserve"> Modern, fit-for-purpose</w:t>
      </w:r>
      <w:r w:rsidR="0037198D">
        <w:rPr>
          <w:lang w:eastAsia="en-AU"/>
        </w:rPr>
        <w:t xml:space="preserve"> </w:t>
      </w:r>
      <w:r>
        <w:rPr>
          <w:lang w:eastAsia="en-AU"/>
        </w:rPr>
        <w:t>architecture to enable secure, scalable performance, rapid change deployment</w:t>
      </w:r>
      <w:r w:rsidR="0037198D">
        <w:rPr>
          <w:lang w:eastAsia="en-AU"/>
        </w:rPr>
        <w:t xml:space="preserve"> </w:t>
      </w:r>
      <w:r>
        <w:rPr>
          <w:lang w:eastAsia="en-AU"/>
        </w:rPr>
        <w:t>and seamless ecosystem integration.</w:t>
      </w:r>
    </w:p>
    <w:p w:rsidR="00085520" w:rsidRDefault="00085520" w:rsidP="00194BAF">
      <w:pPr>
        <w:pStyle w:val="Heading2"/>
      </w:pPr>
      <w:r w:rsidRPr="0037198D">
        <w:t>Disclaimers</w:t>
      </w:r>
    </w:p>
    <w:p w:rsidR="00085520" w:rsidRDefault="00085520" w:rsidP="0037198D">
      <w:pPr>
        <w:pStyle w:val="BodyText"/>
        <w:rPr>
          <w:lang w:eastAsia="en-AU"/>
        </w:rPr>
      </w:pPr>
      <w:r>
        <w:rPr>
          <w:lang w:eastAsia="en-AU"/>
        </w:rPr>
        <w:t>The services and materials provided by Boston</w:t>
      </w:r>
      <w:r w:rsidR="0037198D">
        <w:rPr>
          <w:lang w:eastAsia="en-AU"/>
        </w:rPr>
        <w:t xml:space="preserve"> </w:t>
      </w:r>
      <w:r>
        <w:rPr>
          <w:lang w:eastAsia="en-AU"/>
        </w:rPr>
        <w:t>Consulting Group (BCG) are subject to BCG's Standard</w:t>
      </w:r>
      <w:r w:rsidR="0037198D">
        <w:rPr>
          <w:lang w:eastAsia="en-AU"/>
        </w:rPr>
        <w:t xml:space="preserve"> </w:t>
      </w:r>
      <w:r>
        <w:rPr>
          <w:lang w:eastAsia="en-AU"/>
        </w:rPr>
        <w:t>Terms (a copy of which is available upon</w:t>
      </w:r>
      <w:r w:rsidR="0037198D">
        <w:rPr>
          <w:lang w:eastAsia="en-AU"/>
        </w:rPr>
        <w:t xml:space="preserve"> </w:t>
      </w:r>
      <w:r>
        <w:rPr>
          <w:lang w:eastAsia="en-AU"/>
        </w:rPr>
        <w:t>request) or such other agreement as may have been</w:t>
      </w:r>
      <w:r w:rsidR="0037198D">
        <w:rPr>
          <w:lang w:eastAsia="en-AU"/>
        </w:rPr>
        <w:t xml:space="preserve"> </w:t>
      </w:r>
      <w:r>
        <w:rPr>
          <w:lang w:eastAsia="en-AU"/>
        </w:rPr>
        <w:t>previously executed by BCG. BCG does not provide</w:t>
      </w:r>
      <w:r w:rsidR="0037198D">
        <w:rPr>
          <w:lang w:eastAsia="en-AU"/>
        </w:rPr>
        <w:t xml:space="preserve"> </w:t>
      </w:r>
      <w:r>
        <w:rPr>
          <w:lang w:eastAsia="en-AU"/>
        </w:rPr>
        <w:t>legal, accounting, or tax advice. The Client is responsible</w:t>
      </w:r>
      <w:r w:rsidR="0037198D">
        <w:rPr>
          <w:lang w:eastAsia="en-AU"/>
        </w:rPr>
        <w:t xml:space="preserve"> </w:t>
      </w:r>
      <w:r>
        <w:rPr>
          <w:lang w:eastAsia="en-AU"/>
        </w:rPr>
        <w:t>for obtaining independent advice concerning</w:t>
      </w:r>
      <w:r w:rsidR="0037198D">
        <w:rPr>
          <w:lang w:eastAsia="en-AU"/>
        </w:rPr>
        <w:t xml:space="preserve"> </w:t>
      </w:r>
      <w:r>
        <w:rPr>
          <w:lang w:eastAsia="en-AU"/>
        </w:rPr>
        <w:t>these matters. This advice may affect the guidance</w:t>
      </w:r>
      <w:r w:rsidR="0037198D">
        <w:rPr>
          <w:lang w:eastAsia="en-AU"/>
        </w:rPr>
        <w:t xml:space="preserve"> </w:t>
      </w:r>
      <w:r>
        <w:rPr>
          <w:lang w:eastAsia="en-AU"/>
        </w:rPr>
        <w:t>given by BCG. Further, BCG has made no undertaking</w:t>
      </w:r>
      <w:r w:rsidR="0037198D">
        <w:rPr>
          <w:lang w:eastAsia="en-AU"/>
        </w:rPr>
        <w:t xml:space="preserve"> </w:t>
      </w:r>
      <w:r>
        <w:rPr>
          <w:lang w:eastAsia="en-AU"/>
        </w:rPr>
        <w:t>to update these materials after the date hereof,</w:t>
      </w:r>
      <w:r w:rsidR="0037198D">
        <w:rPr>
          <w:lang w:eastAsia="en-AU"/>
        </w:rPr>
        <w:t xml:space="preserve"> </w:t>
      </w:r>
      <w:r>
        <w:rPr>
          <w:lang w:eastAsia="en-AU"/>
        </w:rPr>
        <w:t>notwithstanding that such information may become</w:t>
      </w:r>
      <w:r w:rsidR="0037198D">
        <w:rPr>
          <w:lang w:eastAsia="en-AU"/>
        </w:rPr>
        <w:t xml:space="preserve"> </w:t>
      </w:r>
      <w:r>
        <w:rPr>
          <w:lang w:eastAsia="en-AU"/>
        </w:rPr>
        <w:t>outdated or inaccurate.</w:t>
      </w:r>
    </w:p>
    <w:p w:rsidR="00085520" w:rsidRDefault="00085520" w:rsidP="0037198D">
      <w:pPr>
        <w:pStyle w:val="BodyText"/>
        <w:rPr>
          <w:lang w:eastAsia="en-AU"/>
        </w:rPr>
      </w:pPr>
      <w:r>
        <w:rPr>
          <w:lang w:eastAsia="en-AU"/>
        </w:rPr>
        <w:t>The materials contained in this presentation are</w:t>
      </w:r>
      <w:r w:rsidR="0037198D">
        <w:rPr>
          <w:lang w:eastAsia="en-AU"/>
        </w:rPr>
        <w:t xml:space="preserve"> </w:t>
      </w:r>
      <w:r>
        <w:rPr>
          <w:lang w:eastAsia="en-AU"/>
        </w:rPr>
        <w:t>designed for the sole use by the board of directors or</w:t>
      </w:r>
      <w:r w:rsidR="0037198D">
        <w:rPr>
          <w:lang w:eastAsia="en-AU"/>
        </w:rPr>
        <w:t xml:space="preserve"> </w:t>
      </w:r>
      <w:r>
        <w:rPr>
          <w:lang w:eastAsia="en-AU"/>
        </w:rPr>
        <w:t>senior management of the Client and solely for the</w:t>
      </w:r>
      <w:r w:rsidR="0037198D">
        <w:rPr>
          <w:lang w:eastAsia="en-AU"/>
        </w:rPr>
        <w:t xml:space="preserve"> </w:t>
      </w:r>
      <w:r>
        <w:rPr>
          <w:lang w:eastAsia="en-AU"/>
        </w:rPr>
        <w:t>limited purposes described in the presentation. The</w:t>
      </w:r>
      <w:r w:rsidR="0037198D">
        <w:rPr>
          <w:lang w:eastAsia="en-AU"/>
        </w:rPr>
        <w:t xml:space="preserve"> </w:t>
      </w:r>
      <w:r>
        <w:rPr>
          <w:lang w:eastAsia="en-AU"/>
        </w:rPr>
        <w:t>materials shall not be copied or given</w:t>
      </w:r>
      <w:r w:rsidR="0084187E">
        <w:rPr>
          <w:lang w:eastAsia="en-AU"/>
        </w:rPr>
        <w:t xml:space="preserve"> </w:t>
      </w:r>
      <w:r>
        <w:rPr>
          <w:lang w:eastAsia="en-AU"/>
        </w:rPr>
        <w:t>to any person</w:t>
      </w:r>
      <w:r w:rsidR="0037198D">
        <w:rPr>
          <w:lang w:eastAsia="en-AU"/>
        </w:rPr>
        <w:t xml:space="preserve"> </w:t>
      </w:r>
      <w:r>
        <w:rPr>
          <w:lang w:eastAsia="en-AU"/>
        </w:rPr>
        <w:t>or entity other than the Client (“Third Party”)</w:t>
      </w:r>
      <w:r w:rsidR="0037198D">
        <w:rPr>
          <w:lang w:eastAsia="en-AU"/>
        </w:rPr>
        <w:t xml:space="preserve"> </w:t>
      </w:r>
      <w:r w:rsidR="0084187E">
        <w:rPr>
          <w:lang w:eastAsia="en-AU"/>
        </w:rPr>
        <w:t>without the prior w</w:t>
      </w:r>
      <w:r>
        <w:rPr>
          <w:lang w:eastAsia="en-AU"/>
        </w:rPr>
        <w:t>ritten consent of BCG. These</w:t>
      </w:r>
      <w:r w:rsidR="0037198D">
        <w:rPr>
          <w:lang w:eastAsia="en-AU"/>
        </w:rPr>
        <w:t xml:space="preserve"> </w:t>
      </w:r>
      <w:r>
        <w:rPr>
          <w:lang w:eastAsia="en-AU"/>
        </w:rPr>
        <w:t>materials serve only as the focus for discussion; they</w:t>
      </w:r>
      <w:r w:rsidR="0037198D">
        <w:rPr>
          <w:lang w:eastAsia="en-AU"/>
        </w:rPr>
        <w:t xml:space="preserve"> </w:t>
      </w:r>
      <w:r>
        <w:rPr>
          <w:lang w:eastAsia="en-AU"/>
        </w:rPr>
        <w:t>are incomplete without the accompanying oral</w:t>
      </w:r>
      <w:r w:rsidR="0037198D">
        <w:rPr>
          <w:lang w:eastAsia="en-AU"/>
        </w:rPr>
        <w:t xml:space="preserve"> </w:t>
      </w:r>
      <w:r>
        <w:rPr>
          <w:lang w:eastAsia="en-AU"/>
        </w:rPr>
        <w:t>commentary and may not be relied on as a</w:t>
      </w:r>
      <w:r w:rsidR="0037198D">
        <w:rPr>
          <w:lang w:eastAsia="en-AU"/>
        </w:rPr>
        <w:t xml:space="preserve"> </w:t>
      </w:r>
      <w:r>
        <w:rPr>
          <w:lang w:eastAsia="en-AU"/>
        </w:rPr>
        <w:t xml:space="preserve">stand-alone </w:t>
      </w:r>
      <w:r>
        <w:rPr>
          <w:lang w:eastAsia="en-AU"/>
        </w:rPr>
        <w:lastRenderedPageBreak/>
        <w:t>document. Further, Third Parties may</w:t>
      </w:r>
      <w:r w:rsidR="0037198D">
        <w:rPr>
          <w:lang w:eastAsia="en-AU"/>
        </w:rPr>
        <w:t xml:space="preserve"> </w:t>
      </w:r>
      <w:r>
        <w:rPr>
          <w:lang w:eastAsia="en-AU"/>
        </w:rPr>
        <w:t>not, and it is unreasonable for any Third Party to, rely</w:t>
      </w:r>
      <w:r w:rsidR="0037198D">
        <w:rPr>
          <w:lang w:eastAsia="en-AU"/>
        </w:rPr>
        <w:t xml:space="preserve"> </w:t>
      </w:r>
      <w:r>
        <w:rPr>
          <w:lang w:eastAsia="en-AU"/>
        </w:rPr>
        <w:t>on these materials for any purpose whatsoever.</w:t>
      </w:r>
    </w:p>
    <w:p w:rsidR="00085520" w:rsidRDefault="00085520" w:rsidP="0037198D">
      <w:pPr>
        <w:pStyle w:val="BodyText"/>
        <w:rPr>
          <w:lang w:eastAsia="en-AU"/>
        </w:rPr>
      </w:pPr>
      <w:r>
        <w:rPr>
          <w:lang w:eastAsia="en-AU"/>
        </w:rPr>
        <w:t>To the fullest extent permitted by law (and except to</w:t>
      </w:r>
      <w:r w:rsidR="0037198D">
        <w:rPr>
          <w:lang w:eastAsia="en-AU"/>
        </w:rPr>
        <w:t xml:space="preserve"> </w:t>
      </w:r>
      <w:r>
        <w:rPr>
          <w:lang w:eastAsia="en-AU"/>
        </w:rPr>
        <w:t>the extent otherwise agreed in a signed writing by</w:t>
      </w:r>
      <w:r w:rsidR="0037198D">
        <w:rPr>
          <w:lang w:eastAsia="en-AU"/>
        </w:rPr>
        <w:t xml:space="preserve"> </w:t>
      </w:r>
      <w:r>
        <w:rPr>
          <w:lang w:eastAsia="en-AU"/>
        </w:rPr>
        <w:t>BCG), BCG shall have no liability whatsoever to any</w:t>
      </w:r>
      <w:r w:rsidR="0037198D">
        <w:rPr>
          <w:lang w:eastAsia="en-AU"/>
        </w:rPr>
        <w:t xml:space="preserve"> </w:t>
      </w:r>
      <w:r>
        <w:rPr>
          <w:lang w:eastAsia="en-AU"/>
        </w:rPr>
        <w:t>Third Party, and any Third Party hereby waives any</w:t>
      </w:r>
      <w:r w:rsidR="0037198D">
        <w:rPr>
          <w:lang w:eastAsia="en-AU"/>
        </w:rPr>
        <w:t xml:space="preserve"> </w:t>
      </w:r>
      <w:r>
        <w:rPr>
          <w:lang w:eastAsia="en-AU"/>
        </w:rPr>
        <w:t>rights and claims it may have at any time against</w:t>
      </w:r>
      <w:r w:rsidR="0037198D">
        <w:rPr>
          <w:lang w:eastAsia="en-AU"/>
        </w:rPr>
        <w:t xml:space="preserve"> </w:t>
      </w:r>
      <w:r>
        <w:rPr>
          <w:lang w:eastAsia="en-AU"/>
        </w:rPr>
        <w:t>BCG with regard to the services, this presentation, or</w:t>
      </w:r>
      <w:r w:rsidR="0037198D">
        <w:rPr>
          <w:lang w:eastAsia="en-AU"/>
        </w:rPr>
        <w:t xml:space="preserve"> </w:t>
      </w:r>
      <w:r>
        <w:rPr>
          <w:lang w:eastAsia="en-AU"/>
        </w:rPr>
        <w:t>other materials, including the accuracy or completeness</w:t>
      </w:r>
      <w:r w:rsidR="0037198D">
        <w:rPr>
          <w:lang w:eastAsia="en-AU"/>
        </w:rPr>
        <w:t xml:space="preserve"> </w:t>
      </w:r>
      <w:r>
        <w:rPr>
          <w:lang w:eastAsia="en-AU"/>
        </w:rPr>
        <w:t>thereof. Receipt and review of this document</w:t>
      </w:r>
      <w:r w:rsidR="00194BAF">
        <w:rPr>
          <w:lang w:eastAsia="en-AU"/>
        </w:rPr>
        <w:t xml:space="preserve"> </w:t>
      </w:r>
      <w:r>
        <w:rPr>
          <w:lang w:eastAsia="en-AU"/>
        </w:rPr>
        <w:t>shall be deemed agreement with and consideration</w:t>
      </w:r>
      <w:r w:rsidR="00194BAF">
        <w:rPr>
          <w:lang w:eastAsia="en-AU"/>
        </w:rPr>
        <w:t xml:space="preserve"> </w:t>
      </w:r>
      <w:r>
        <w:rPr>
          <w:lang w:eastAsia="en-AU"/>
        </w:rPr>
        <w:t>for the foregoing.</w:t>
      </w:r>
    </w:p>
    <w:p w:rsidR="00085520" w:rsidRPr="00194BAF" w:rsidRDefault="00085520" w:rsidP="0037198D">
      <w:pPr>
        <w:pStyle w:val="BodyText"/>
      </w:pPr>
      <w:r>
        <w:rPr>
          <w:lang w:eastAsia="en-AU"/>
        </w:rPr>
        <w:t>BCG does not provide fairness opinions or valuations</w:t>
      </w:r>
      <w:r w:rsidR="00194BAF">
        <w:rPr>
          <w:lang w:eastAsia="en-AU"/>
        </w:rPr>
        <w:t xml:space="preserve"> </w:t>
      </w:r>
      <w:r>
        <w:rPr>
          <w:lang w:eastAsia="en-AU"/>
        </w:rPr>
        <w:t>of market transactions, and these materials should</w:t>
      </w:r>
      <w:r w:rsidR="00194BAF">
        <w:rPr>
          <w:lang w:eastAsia="en-AU"/>
        </w:rPr>
        <w:t xml:space="preserve"> </w:t>
      </w:r>
      <w:r>
        <w:rPr>
          <w:lang w:eastAsia="en-AU"/>
        </w:rPr>
        <w:t>not be relied on or construed as such. Further, the</w:t>
      </w:r>
      <w:r w:rsidR="00194BAF">
        <w:rPr>
          <w:lang w:eastAsia="en-AU"/>
        </w:rPr>
        <w:t xml:space="preserve"> </w:t>
      </w:r>
      <w:r>
        <w:rPr>
          <w:lang w:eastAsia="en-AU"/>
        </w:rPr>
        <w:t>financial evaluations, projected market and financial</w:t>
      </w:r>
      <w:r w:rsidR="00194BAF">
        <w:rPr>
          <w:lang w:eastAsia="en-AU"/>
        </w:rPr>
        <w:t xml:space="preserve"> </w:t>
      </w:r>
      <w:r>
        <w:rPr>
          <w:lang w:eastAsia="en-AU"/>
        </w:rPr>
        <w:t>information, and conclusions contained in these</w:t>
      </w:r>
      <w:r w:rsidR="00194BAF">
        <w:rPr>
          <w:lang w:eastAsia="en-AU"/>
        </w:rPr>
        <w:t xml:space="preserve"> </w:t>
      </w:r>
      <w:r>
        <w:rPr>
          <w:lang w:eastAsia="en-AU"/>
        </w:rPr>
        <w:t>materials are based upon standard valuation methodologies,</w:t>
      </w:r>
      <w:r w:rsidR="00194BAF">
        <w:rPr>
          <w:lang w:eastAsia="en-AU"/>
        </w:rPr>
        <w:t xml:space="preserve"> </w:t>
      </w:r>
      <w:r>
        <w:rPr>
          <w:lang w:eastAsia="en-AU"/>
        </w:rPr>
        <w:t>are not definitive forecasts, and are not</w:t>
      </w:r>
      <w:r w:rsidR="00194BAF">
        <w:rPr>
          <w:lang w:eastAsia="en-AU"/>
        </w:rPr>
        <w:t xml:space="preserve"> </w:t>
      </w:r>
      <w:r>
        <w:rPr>
          <w:lang w:eastAsia="en-AU"/>
        </w:rPr>
        <w:t>guaranteed by BCG. BCG has used public and/or</w:t>
      </w:r>
      <w:r w:rsidR="00194BAF">
        <w:rPr>
          <w:lang w:eastAsia="en-AU"/>
        </w:rPr>
        <w:t xml:space="preserve"> </w:t>
      </w:r>
      <w:r>
        <w:rPr>
          <w:lang w:eastAsia="en-AU"/>
        </w:rPr>
        <w:t>confidential data and assumptions provided to BCG</w:t>
      </w:r>
      <w:r w:rsidR="00194BAF">
        <w:rPr>
          <w:lang w:eastAsia="en-AU"/>
        </w:rPr>
        <w:t xml:space="preserve"> </w:t>
      </w:r>
      <w:r>
        <w:rPr>
          <w:lang w:eastAsia="en-AU"/>
        </w:rPr>
        <w:t>by the Client. BCG has not independently verified</w:t>
      </w:r>
      <w:r w:rsidR="00194BAF">
        <w:rPr>
          <w:lang w:eastAsia="en-AU"/>
        </w:rPr>
        <w:t xml:space="preserve"> </w:t>
      </w:r>
      <w:r>
        <w:rPr>
          <w:lang w:eastAsia="en-AU"/>
        </w:rPr>
        <w:t>the data and assumptions used in these analyses.</w:t>
      </w:r>
      <w:r w:rsidR="00194BAF">
        <w:rPr>
          <w:lang w:eastAsia="en-AU"/>
        </w:rPr>
        <w:t xml:space="preserve"> </w:t>
      </w:r>
      <w:r>
        <w:rPr>
          <w:lang w:eastAsia="en-AU"/>
        </w:rPr>
        <w:t>Changes in the underlying data or operating</w:t>
      </w:r>
      <w:r w:rsidR="00194BAF">
        <w:rPr>
          <w:lang w:eastAsia="en-AU"/>
        </w:rPr>
        <w:t xml:space="preserve"> </w:t>
      </w:r>
      <w:r>
        <w:rPr>
          <w:lang w:eastAsia="en-AU"/>
        </w:rPr>
        <w:t>assumptions will clearly impact the analyses and</w:t>
      </w:r>
      <w:r w:rsidR="00194BAF">
        <w:rPr>
          <w:lang w:eastAsia="en-AU"/>
        </w:rPr>
        <w:t xml:space="preserve"> </w:t>
      </w:r>
      <w:r>
        <w:rPr>
          <w:lang w:eastAsia="en-AU"/>
        </w:rPr>
        <w:t>conclusions.</w:t>
      </w:r>
    </w:p>
    <w:sectPr w:rsidR="00085520" w:rsidRPr="00194BAF" w:rsidSect="00877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AF" w:rsidRDefault="00194BAF" w:rsidP="00C77FE4">
      <w:r>
        <w:separator/>
      </w:r>
    </w:p>
  </w:endnote>
  <w:endnote w:type="continuationSeparator" w:id="0">
    <w:p w:rsidR="00194BAF" w:rsidRDefault="00194BAF" w:rsidP="00C7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BCG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Centro Sans Pro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57" w:rsidRDefault="00D00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57" w:rsidRDefault="00D00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57" w:rsidRDefault="00D00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AF" w:rsidRDefault="00194BAF" w:rsidP="00C77FE4">
      <w:r>
        <w:separator/>
      </w:r>
    </w:p>
  </w:footnote>
  <w:footnote w:type="continuationSeparator" w:id="0">
    <w:p w:rsidR="00194BAF" w:rsidRDefault="00194BAF" w:rsidP="00C7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57" w:rsidRDefault="00D00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57" w:rsidRDefault="00D00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57" w:rsidRDefault="00D00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443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648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62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C37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4EA4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412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A1D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8810D0"/>
    <w:lvl w:ilvl="0">
      <w:start w:val="1"/>
      <w:numFmt w:val="bullet"/>
      <w:pStyle w:val="ListBullet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624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E05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D6F9A"/>
    <w:multiLevelType w:val="hybridMultilevel"/>
    <w:tmpl w:val="54080D78"/>
    <w:lvl w:ilvl="0" w:tplc="384E5D9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777814"/>
    <w:multiLevelType w:val="hybridMultilevel"/>
    <w:tmpl w:val="DE701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F67EE"/>
    <w:multiLevelType w:val="hybridMultilevel"/>
    <w:tmpl w:val="A1A818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D4309"/>
    <w:multiLevelType w:val="hybridMultilevel"/>
    <w:tmpl w:val="F796F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EA67A9"/>
    <w:multiLevelType w:val="hybridMultilevel"/>
    <w:tmpl w:val="1DE67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B287D"/>
    <w:multiLevelType w:val="hybridMultilevel"/>
    <w:tmpl w:val="E3AA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F2F2B"/>
    <w:multiLevelType w:val="hybridMultilevel"/>
    <w:tmpl w:val="8CD67A4A"/>
    <w:lvl w:ilvl="0" w:tplc="384E5D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05B2"/>
    <w:multiLevelType w:val="hybridMultilevel"/>
    <w:tmpl w:val="3A22B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A4CDB"/>
    <w:multiLevelType w:val="hybridMultilevel"/>
    <w:tmpl w:val="787EF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2C42"/>
    <w:multiLevelType w:val="hybridMultilevel"/>
    <w:tmpl w:val="2FD0A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E29C8"/>
    <w:multiLevelType w:val="hybridMultilevel"/>
    <w:tmpl w:val="2B82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B2372"/>
    <w:multiLevelType w:val="hybridMultilevel"/>
    <w:tmpl w:val="E7C4E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150D0"/>
    <w:multiLevelType w:val="hybridMultilevel"/>
    <w:tmpl w:val="1B365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960E7"/>
    <w:multiLevelType w:val="hybridMultilevel"/>
    <w:tmpl w:val="6E3C9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F090B"/>
    <w:multiLevelType w:val="hybridMultilevel"/>
    <w:tmpl w:val="22E89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02FD6"/>
    <w:multiLevelType w:val="hybridMultilevel"/>
    <w:tmpl w:val="4D60F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91549"/>
    <w:multiLevelType w:val="hybridMultilevel"/>
    <w:tmpl w:val="7C4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B2445"/>
    <w:multiLevelType w:val="hybridMultilevel"/>
    <w:tmpl w:val="7556DC1C"/>
    <w:lvl w:ilvl="0" w:tplc="D660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F7977"/>
    <w:multiLevelType w:val="hybridMultilevel"/>
    <w:tmpl w:val="68B0A638"/>
    <w:lvl w:ilvl="0" w:tplc="384E5D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97918"/>
    <w:multiLevelType w:val="hybridMultilevel"/>
    <w:tmpl w:val="AC06F6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F677B"/>
    <w:multiLevelType w:val="hybridMultilevel"/>
    <w:tmpl w:val="34482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75341"/>
    <w:multiLevelType w:val="hybridMultilevel"/>
    <w:tmpl w:val="74BE1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7"/>
  </w:num>
  <w:num w:numId="13">
    <w:abstractNumId w:val="25"/>
  </w:num>
  <w:num w:numId="14">
    <w:abstractNumId w:val="22"/>
  </w:num>
  <w:num w:numId="15">
    <w:abstractNumId w:val="19"/>
  </w:num>
  <w:num w:numId="16">
    <w:abstractNumId w:val="28"/>
  </w:num>
  <w:num w:numId="17">
    <w:abstractNumId w:val="10"/>
  </w:num>
  <w:num w:numId="18">
    <w:abstractNumId w:val="16"/>
  </w:num>
  <w:num w:numId="19">
    <w:abstractNumId w:val="24"/>
  </w:num>
  <w:num w:numId="20">
    <w:abstractNumId w:val="30"/>
  </w:num>
  <w:num w:numId="21">
    <w:abstractNumId w:val="13"/>
  </w:num>
  <w:num w:numId="22">
    <w:abstractNumId w:val="21"/>
  </w:num>
  <w:num w:numId="23">
    <w:abstractNumId w:val="20"/>
  </w:num>
  <w:num w:numId="24">
    <w:abstractNumId w:val="15"/>
  </w:num>
  <w:num w:numId="25">
    <w:abstractNumId w:val="18"/>
  </w:num>
  <w:num w:numId="26">
    <w:abstractNumId w:val="31"/>
  </w:num>
  <w:num w:numId="27">
    <w:abstractNumId w:val="11"/>
  </w:num>
  <w:num w:numId="28">
    <w:abstractNumId w:val="29"/>
  </w:num>
  <w:num w:numId="29">
    <w:abstractNumId w:val="12"/>
  </w:num>
  <w:num w:numId="30">
    <w:abstractNumId w:val="23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F"/>
    <w:rsid w:val="000076F8"/>
    <w:rsid w:val="00015456"/>
    <w:rsid w:val="000156A2"/>
    <w:rsid w:val="00015AE7"/>
    <w:rsid w:val="00032A7E"/>
    <w:rsid w:val="00044271"/>
    <w:rsid w:val="00047ECA"/>
    <w:rsid w:val="00054392"/>
    <w:rsid w:val="00054F06"/>
    <w:rsid w:val="000671E4"/>
    <w:rsid w:val="00071651"/>
    <w:rsid w:val="000850DC"/>
    <w:rsid w:val="00085520"/>
    <w:rsid w:val="00091FBD"/>
    <w:rsid w:val="000967ED"/>
    <w:rsid w:val="000A254A"/>
    <w:rsid w:val="000A5E33"/>
    <w:rsid w:val="000B4048"/>
    <w:rsid w:val="000C5A32"/>
    <w:rsid w:val="000D246D"/>
    <w:rsid w:val="000E2170"/>
    <w:rsid w:val="000E5AEE"/>
    <w:rsid w:val="000F2731"/>
    <w:rsid w:val="00105ADB"/>
    <w:rsid w:val="00106CBE"/>
    <w:rsid w:val="00111E1D"/>
    <w:rsid w:val="00120212"/>
    <w:rsid w:val="0012437B"/>
    <w:rsid w:val="00132C19"/>
    <w:rsid w:val="00140AB3"/>
    <w:rsid w:val="001678AC"/>
    <w:rsid w:val="001718F2"/>
    <w:rsid w:val="001859C2"/>
    <w:rsid w:val="00194BAF"/>
    <w:rsid w:val="001A7379"/>
    <w:rsid w:val="001A7D06"/>
    <w:rsid w:val="001C0E50"/>
    <w:rsid w:val="001E5563"/>
    <w:rsid w:val="001E55A2"/>
    <w:rsid w:val="001F312C"/>
    <w:rsid w:val="00211456"/>
    <w:rsid w:val="00244B07"/>
    <w:rsid w:val="00251E3F"/>
    <w:rsid w:val="002556F0"/>
    <w:rsid w:val="00256A48"/>
    <w:rsid w:val="00280896"/>
    <w:rsid w:val="002A1FEA"/>
    <w:rsid w:val="002B682A"/>
    <w:rsid w:val="002C67B2"/>
    <w:rsid w:val="002E0853"/>
    <w:rsid w:val="002F3DA7"/>
    <w:rsid w:val="00300910"/>
    <w:rsid w:val="00313C9F"/>
    <w:rsid w:val="00331B6F"/>
    <w:rsid w:val="0036715B"/>
    <w:rsid w:val="0037198D"/>
    <w:rsid w:val="00372C03"/>
    <w:rsid w:val="00374B97"/>
    <w:rsid w:val="00382845"/>
    <w:rsid w:val="003868BB"/>
    <w:rsid w:val="00386ECC"/>
    <w:rsid w:val="003926AC"/>
    <w:rsid w:val="00393DCE"/>
    <w:rsid w:val="003A29E7"/>
    <w:rsid w:val="003E0728"/>
    <w:rsid w:val="003E4B19"/>
    <w:rsid w:val="003F2DCC"/>
    <w:rsid w:val="003F3FE6"/>
    <w:rsid w:val="004027EB"/>
    <w:rsid w:val="004046AA"/>
    <w:rsid w:val="00404F1C"/>
    <w:rsid w:val="00412B68"/>
    <w:rsid w:val="004202FF"/>
    <w:rsid w:val="004353EC"/>
    <w:rsid w:val="0043780F"/>
    <w:rsid w:val="0044432E"/>
    <w:rsid w:val="00451B0A"/>
    <w:rsid w:val="00454A1A"/>
    <w:rsid w:val="00464F97"/>
    <w:rsid w:val="004760B3"/>
    <w:rsid w:val="00480407"/>
    <w:rsid w:val="004967BA"/>
    <w:rsid w:val="00496E7D"/>
    <w:rsid w:val="004A56A1"/>
    <w:rsid w:val="004B05EB"/>
    <w:rsid w:val="004C2789"/>
    <w:rsid w:val="004C3F91"/>
    <w:rsid w:val="004C46FC"/>
    <w:rsid w:val="004D1F33"/>
    <w:rsid w:val="004D5147"/>
    <w:rsid w:val="004E064F"/>
    <w:rsid w:val="004F0442"/>
    <w:rsid w:val="005025F8"/>
    <w:rsid w:val="00515AE9"/>
    <w:rsid w:val="00515B62"/>
    <w:rsid w:val="00521EBE"/>
    <w:rsid w:val="00522E98"/>
    <w:rsid w:val="0053686B"/>
    <w:rsid w:val="005447EC"/>
    <w:rsid w:val="00547164"/>
    <w:rsid w:val="00567226"/>
    <w:rsid w:val="005706D2"/>
    <w:rsid w:val="00586555"/>
    <w:rsid w:val="005A433D"/>
    <w:rsid w:val="005B092F"/>
    <w:rsid w:val="005B17EB"/>
    <w:rsid w:val="005E6C88"/>
    <w:rsid w:val="005F00EB"/>
    <w:rsid w:val="005F107D"/>
    <w:rsid w:val="005F1D36"/>
    <w:rsid w:val="005F5542"/>
    <w:rsid w:val="00604426"/>
    <w:rsid w:val="00606393"/>
    <w:rsid w:val="006225D9"/>
    <w:rsid w:val="006266AE"/>
    <w:rsid w:val="00626E8D"/>
    <w:rsid w:val="00642687"/>
    <w:rsid w:val="00665C7F"/>
    <w:rsid w:val="00677137"/>
    <w:rsid w:val="00677713"/>
    <w:rsid w:val="0069046E"/>
    <w:rsid w:val="00691706"/>
    <w:rsid w:val="006B07C6"/>
    <w:rsid w:val="006C762C"/>
    <w:rsid w:val="006D08E2"/>
    <w:rsid w:val="006D2988"/>
    <w:rsid w:val="006D35B7"/>
    <w:rsid w:val="006D5715"/>
    <w:rsid w:val="006D6F0A"/>
    <w:rsid w:val="006F3A95"/>
    <w:rsid w:val="00705895"/>
    <w:rsid w:val="00705D14"/>
    <w:rsid w:val="00716746"/>
    <w:rsid w:val="00726026"/>
    <w:rsid w:val="00727EE5"/>
    <w:rsid w:val="00733DA5"/>
    <w:rsid w:val="007350CF"/>
    <w:rsid w:val="0075047E"/>
    <w:rsid w:val="00750D76"/>
    <w:rsid w:val="00754ED8"/>
    <w:rsid w:val="00765891"/>
    <w:rsid w:val="00772850"/>
    <w:rsid w:val="007771BF"/>
    <w:rsid w:val="0078491F"/>
    <w:rsid w:val="007868CA"/>
    <w:rsid w:val="0079242F"/>
    <w:rsid w:val="00792D7C"/>
    <w:rsid w:val="00794733"/>
    <w:rsid w:val="007A3699"/>
    <w:rsid w:val="007A6B1C"/>
    <w:rsid w:val="007B4AC9"/>
    <w:rsid w:val="007B5011"/>
    <w:rsid w:val="007B72F3"/>
    <w:rsid w:val="007C4725"/>
    <w:rsid w:val="007D2AE4"/>
    <w:rsid w:val="007D3C35"/>
    <w:rsid w:val="007D500B"/>
    <w:rsid w:val="007D7369"/>
    <w:rsid w:val="007D761E"/>
    <w:rsid w:val="007E5532"/>
    <w:rsid w:val="007F7BFB"/>
    <w:rsid w:val="008004E6"/>
    <w:rsid w:val="00802139"/>
    <w:rsid w:val="0084187E"/>
    <w:rsid w:val="00861535"/>
    <w:rsid w:val="0086273D"/>
    <w:rsid w:val="00875BC1"/>
    <w:rsid w:val="00876891"/>
    <w:rsid w:val="00877919"/>
    <w:rsid w:val="008806FF"/>
    <w:rsid w:val="008842C6"/>
    <w:rsid w:val="00895DA6"/>
    <w:rsid w:val="008A165E"/>
    <w:rsid w:val="008B2193"/>
    <w:rsid w:val="008B23EF"/>
    <w:rsid w:val="008B54E0"/>
    <w:rsid w:val="008C199A"/>
    <w:rsid w:val="0090174F"/>
    <w:rsid w:val="009102B3"/>
    <w:rsid w:val="00910FA2"/>
    <w:rsid w:val="009118A6"/>
    <w:rsid w:val="0094424A"/>
    <w:rsid w:val="009539AE"/>
    <w:rsid w:val="00972D45"/>
    <w:rsid w:val="00976C5F"/>
    <w:rsid w:val="00985EC6"/>
    <w:rsid w:val="00987378"/>
    <w:rsid w:val="009920AD"/>
    <w:rsid w:val="00997B75"/>
    <w:rsid w:val="009B6CC2"/>
    <w:rsid w:val="009D16AA"/>
    <w:rsid w:val="009E59EB"/>
    <w:rsid w:val="009F5185"/>
    <w:rsid w:val="00A06486"/>
    <w:rsid w:val="00A11D8E"/>
    <w:rsid w:val="00A1419F"/>
    <w:rsid w:val="00A21258"/>
    <w:rsid w:val="00A265A0"/>
    <w:rsid w:val="00A41E85"/>
    <w:rsid w:val="00A52B74"/>
    <w:rsid w:val="00A95C0E"/>
    <w:rsid w:val="00AA3023"/>
    <w:rsid w:val="00AA4D96"/>
    <w:rsid w:val="00AB125B"/>
    <w:rsid w:val="00AB3973"/>
    <w:rsid w:val="00AB4F8F"/>
    <w:rsid w:val="00AC2098"/>
    <w:rsid w:val="00AD7DEA"/>
    <w:rsid w:val="00AE6BC5"/>
    <w:rsid w:val="00AF2611"/>
    <w:rsid w:val="00AF2766"/>
    <w:rsid w:val="00AF59AF"/>
    <w:rsid w:val="00AF7CC1"/>
    <w:rsid w:val="00B105F1"/>
    <w:rsid w:val="00B20D55"/>
    <w:rsid w:val="00B307C0"/>
    <w:rsid w:val="00B35443"/>
    <w:rsid w:val="00B4027C"/>
    <w:rsid w:val="00B40681"/>
    <w:rsid w:val="00B5279C"/>
    <w:rsid w:val="00B76C26"/>
    <w:rsid w:val="00B87C17"/>
    <w:rsid w:val="00B90686"/>
    <w:rsid w:val="00B97936"/>
    <w:rsid w:val="00BA2D0A"/>
    <w:rsid w:val="00BA2EF2"/>
    <w:rsid w:val="00BB0ADA"/>
    <w:rsid w:val="00BB36E2"/>
    <w:rsid w:val="00BB3E98"/>
    <w:rsid w:val="00BD2D68"/>
    <w:rsid w:val="00BD773A"/>
    <w:rsid w:val="00BF032E"/>
    <w:rsid w:val="00C245AC"/>
    <w:rsid w:val="00C43A50"/>
    <w:rsid w:val="00C46790"/>
    <w:rsid w:val="00C50C30"/>
    <w:rsid w:val="00C713F5"/>
    <w:rsid w:val="00C77FE4"/>
    <w:rsid w:val="00C86E67"/>
    <w:rsid w:val="00C91EEF"/>
    <w:rsid w:val="00C95A69"/>
    <w:rsid w:val="00C96772"/>
    <w:rsid w:val="00CA2FB4"/>
    <w:rsid w:val="00CA3C73"/>
    <w:rsid w:val="00CB6314"/>
    <w:rsid w:val="00CC520F"/>
    <w:rsid w:val="00CD7C3B"/>
    <w:rsid w:val="00CE4300"/>
    <w:rsid w:val="00CE5D91"/>
    <w:rsid w:val="00D00757"/>
    <w:rsid w:val="00D05662"/>
    <w:rsid w:val="00D05A32"/>
    <w:rsid w:val="00D22D34"/>
    <w:rsid w:val="00D27B93"/>
    <w:rsid w:val="00D471E5"/>
    <w:rsid w:val="00D61251"/>
    <w:rsid w:val="00D62DEA"/>
    <w:rsid w:val="00D65810"/>
    <w:rsid w:val="00D731A6"/>
    <w:rsid w:val="00D7585D"/>
    <w:rsid w:val="00D90171"/>
    <w:rsid w:val="00D95D2A"/>
    <w:rsid w:val="00DB50EE"/>
    <w:rsid w:val="00DB5AB6"/>
    <w:rsid w:val="00DF0E65"/>
    <w:rsid w:val="00DF39AF"/>
    <w:rsid w:val="00DF6DA7"/>
    <w:rsid w:val="00E018DC"/>
    <w:rsid w:val="00E05521"/>
    <w:rsid w:val="00E075E7"/>
    <w:rsid w:val="00E22EB2"/>
    <w:rsid w:val="00E24639"/>
    <w:rsid w:val="00E24EC1"/>
    <w:rsid w:val="00E352AC"/>
    <w:rsid w:val="00E454C6"/>
    <w:rsid w:val="00E66C20"/>
    <w:rsid w:val="00E80126"/>
    <w:rsid w:val="00E84A72"/>
    <w:rsid w:val="00E85228"/>
    <w:rsid w:val="00EA1575"/>
    <w:rsid w:val="00EA7C06"/>
    <w:rsid w:val="00EB6C6C"/>
    <w:rsid w:val="00EC1132"/>
    <w:rsid w:val="00ED34BA"/>
    <w:rsid w:val="00EE07E7"/>
    <w:rsid w:val="00EF0F52"/>
    <w:rsid w:val="00EF141B"/>
    <w:rsid w:val="00EF4814"/>
    <w:rsid w:val="00EF73B9"/>
    <w:rsid w:val="00F07680"/>
    <w:rsid w:val="00F13F24"/>
    <w:rsid w:val="00F14599"/>
    <w:rsid w:val="00F260CA"/>
    <w:rsid w:val="00F612F8"/>
    <w:rsid w:val="00F65C44"/>
    <w:rsid w:val="00F75113"/>
    <w:rsid w:val="00F9462E"/>
    <w:rsid w:val="00F94A6B"/>
    <w:rsid w:val="00FA3BCF"/>
    <w:rsid w:val="00FA722D"/>
    <w:rsid w:val="00FB1495"/>
    <w:rsid w:val="00FB28DE"/>
    <w:rsid w:val="00FC0558"/>
    <w:rsid w:val="00FD356E"/>
    <w:rsid w:val="00FE2064"/>
    <w:rsid w:val="00FE682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81B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autoRedefine/>
    <w:rsid w:val="00EF73B9"/>
    <w:pPr>
      <w:tabs>
        <w:tab w:val="left" w:pos="1066"/>
      </w:tabs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B87C17"/>
    <w:pPr>
      <w:keepNext/>
      <w:spacing w:after="24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autoRedefine/>
    <w:qFormat/>
    <w:rsid w:val="00194BAF"/>
    <w:pPr>
      <w:keepNext/>
      <w:spacing w:before="240" w:after="240"/>
      <w:outlineLvl w:val="1"/>
    </w:pPr>
    <w:rPr>
      <w:rFonts w:cs="HendersonBCGSans-Light"/>
      <w:b/>
      <w:bCs/>
      <w:iCs/>
      <w:sz w:val="36"/>
      <w:szCs w:val="32"/>
      <w:lang w:eastAsia="en-AU"/>
    </w:rPr>
  </w:style>
  <w:style w:type="paragraph" w:styleId="Heading3">
    <w:name w:val="heading 3"/>
    <w:basedOn w:val="Normal"/>
    <w:next w:val="Normal"/>
    <w:autoRedefine/>
    <w:qFormat/>
    <w:rsid w:val="00B87C17"/>
    <w:pPr>
      <w:keepNext/>
      <w:tabs>
        <w:tab w:val="left" w:pos="0"/>
      </w:tabs>
      <w:spacing w:before="240" w:after="240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B87C17"/>
    <w:pPr>
      <w:keepNext/>
      <w:spacing w:before="60" w:after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7C17"/>
    <w:pPr>
      <w:spacing w:before="60" w:after="1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7C17"/>
    <w:pPr>
      <w:spacing w:before="60" w:after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F273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2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27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BodyText"/>
    <w:autoRedefine/>
    <w:qFormat/>
    <w:rsid w:val="00374B97"/>
    <w:rPr>
      <w:sz w:val="20"/>
      <w:szCs w:val="20"/>
      <w:lang w:val="fr-FR"/>
    </w:rPr>
  </w:style>
  <w:style w:type="paragraph" w:styleId="BalloonText">
    <w:name w:val="Balloon Text"/>
    <w:basedOn w:val="Normal"/>
    <w:semiHidden/>
    <w:rsid w:val="000F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B87C17"/>
    <w:pPr>
      <w:spacing w:before="120" w:after="200"/>
    </w:pPr>
  </w:style>
  <w:style w:type="paragraph" w:styleId="CommentText">
    <w:name w:val="annotation text"/>
    <w:basedOn w:val="Normal"/>
    <w:semiHidden/>
    <w:rsid w:val="000F27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2731"/>
    <w:rPr>
      <w:b/>
      <w:bCs/>
    </w:rPr>
  </w:style>
  <w:style w:type="paragraph" w:styleId="DocumentMap">
    <w:name w:val="Document Map"/>
    <w:basedOn w:val="Normal"/>
    <w:semiHidden/>
    <w:rsid w:val="000F273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0F2731"/>
    <w:rPr>
      <w:sz w:val="20"/>
      <w:szCs w:val="20"/>
    </w:rPr>
  </w:style>
  <w:style w:type="paragraph" w:styleId="FootnoteText">
    <w:name w:val="footnote text"/>
    <w:basedOn w:val="Normal"/>
    <w:semiHidden/>
    <w:rsid w:val="000F2731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F2731"/>
    <w:pPr>
      <w:tabs>
        <w:tab w:val="clear" w:pos="1066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0F2731"/>
    <w:pPr>
      <w:tabs>
        <w:tab w:val="clear" w:pos="1066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0F2731"/>
    <w:pPr>
      <w:tabs>
        <w:tab w:val="clear" w:pos="1066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0F2731"/>
    <w:pPr>
      <w:tabs>
        <w:tab w:val="clear" w:pos="1066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0F2731"/>
    <w:pPr>
      <w:tabs>
        <w:tab w:val="clear" w:pos="1066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0F2731"/>
    <w:pPr>
      <w:tabs>
        <w:tab w:val="clear" w:pos="1066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0F2731"/>
    <w:pPr>
      <w:tabs>
        <w:tab w:val="clear" w:pos="1066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0F2731"/>
    <w:pPr>
      <w:tabs>
        <w:tab w:val="clear" w:pos="1066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0F2731"/>
    <w:pPr>
      <w:tabs>
        <w:tab w:val="clear" w:pos="1066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0F2731"/>
    <w:rPr>
      <w:rFonts w:cs="Arial"/>
      <w:b/>
      <w:bCs/>
    </w:rPr>
  </w:style>
  <w:style w:type="paragraph" w:styleId="ListBullet">
    <w:name w:val="List Bullet"/>
    <w:basedOn w:val="Normal"/>
    <w:autoRedefine/>
    <w:qFormat/>
    <w:rsid w:val="00B87C17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autoRedefine/>
    <w:qFormat/>
    <w:rsid w:val="003E0728"/>
    <w:pPr>
      <w:numPr>
        <w:numId w:val="2"/>
      </w:numPr>
      <w:spacing w:after="120"/>
    </w:pPr>
  </w:style>
  <w:style w:type="paragraph" w:styleId="ListBullet3">
    <w:name w:val="List Bullet 3"/>
    <w:basedOn w:val="Normal"/>
    <w:autoRedefine/>
    <w:rsid w:val="000F2731"/>
    <w:pPr>
      <w:numPr>
        <w:numId w:val="3"/>
      </w:numPr>
    </w:pPr>
  </w:style>
  <w:style w:type="paragraph" w:styleId="ListNumber">
    <w:name w:val="List Number"/>
    <w:basedOn w:val="Normal"/>
    <w:qFormat/>
    <w:rsid w:val="00B87C17"/>
    <w:pPr>
      <w:numPr>
        <w:numId w:val="6"/>
      </w:numPr>
      <w:spacing w:after="120"/>
      <w:ind w:left="357" w:hanging="357"/>
    </w:pPr>
  </w:style>
  <w:style w:type="paragraph" w:styleId="ListNumber2">
    <w:name w:val="List Number 2"/>
    <w:basedOn w:val="Normal"/>
    <w:qFormat/>
    <w:rsid w:val="00B87C17"/>
    <w:pPr>
      <w:numPr>
        <w:numId w:val="7"/>
      </w:numPr>
      <w:spacing w:after="120"/>
      <w:ind w:left="714" w:hanging="357"/>
    </w:pPr>
  </w:style>
  <w:style w:type="paragraph" w:styleId="MacroText">
    <w:name w:val="macro"/>
    <w:semiHidden/>
    <w:rsid w:val="000F2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F2731"/>
    <w:pPr>
      <w:tabs>
        <w:tab w:val="clear" w:pos="1066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0F2731"/>
    <w:pPr>
      <w:tabs>
        <w:tab w:val="clear" w:pos="1066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0F2731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F2731"/>
    <w:pPr>
      <w:tabs>
        <w:tab w:val="clear" w:pos="1066"/>
      </w:tabs>
    </w:pPr>
  </w:style>
  <w:style w:type="paragraph" w:styleId="TOC2">
    <w:name w:val="toc 2"/>
    <w:basedOn w:val="Normal"/>
    <w:next w:val="Normal"/>
    <w:autoRedefine/>
    <w:semiHidden/>
    <w:rsid w:val="000F2731"/>
    <w:pPr>
      <w:tabs>
        <w:tab w:val="clear" w:pos="1066"/>
      </w:tabs>
      <w:ind w:left="240"/>
    </w:pPr>
  </w:style>
  <w:style w:type="paragraph" w:styleId="TOC3">
    <w:name w:val="toc 3"/>
    <w:basedOn w:val="Normal"/>
    <w:next w:val="Normal"/>
    <w:autoRedefine/>
    <w:semiHidden/>
    <w:rsid w:val="000F2731"/>
    <w:pPr>
      <w:tabs>
        <w:tab w:val="clear" w:pos="1066"/>
      </w:tabs>
      <w:ind w:left="480"/>
    </w:pPr>
  </w:style>
  <w:style w:type="paragraph" w:styleId="TOC4">
    <w:name w:val="toc 4"/>
    <w:basedOn w:val="Normal"/>
    <w:next w:val="Normal"/>
    <w:autoRedefine/>
    <w:semiHidden/>
    <w:rsid w:val="000F2731"/>
    <w:pPr>
      <w:tabs>
        <w:tab w:val="clear" w:pos="1066"/>
      </w:tabs>
      <w:ind w:left="720"/>
    </w:pPr>
  </w:style>
  <w:style w:type="paragraph" w:styleId="TOC5">
    <w:name w:val="toc 5"/>
    <w:basedOn w:val="Normal"/>
    <w:next w:val="Normal"/>
    <w:autoRedefine/>
    <w:semiHidden/>
    <w:rsid w:val="000F2731"/>
    <w:pPr>
      <w:tabs>
        <w:tab w:val="clear" w:pos="1066"/>
      </w:tabs>
      <w:ind w:left="960"/>
    </w:pPr>
  </w:style>
  <w:style w:type="paragraph" w:styleId="TOC6">
    <w:name w:val="toc 6"/>
    <w:basedOn w:val="Normal"/>
    <w:next w:val="Normal"/>
    <w:autoRedefine/>
    <w:semiHidden/>
    <w:rsid w:val="000F2731"/>
    <w:pPr>
      <w:tabs>
        <w:tab w:val="clear" w:pos="1066"/>
      </w:tabs>
      <w:ind w:left="1200"/>
    </w:pPr>
  </w:style>
  <w:style w:type="paragraph" w:styleId="TOC7">
    <w:name w:val="toc 7"/>
    <w:basedOn w:val="Normal"/>
    <w:next w:val="Normal"/>
    <w:autoRedefine/>
    <w:semiHidden/>
    <w:rsid w:val="000F2731"/>
    <w:pPr>
      <w:tabs>
        <w:tab w:val="clear" w:pos="1066"/>
      </w:tabs>
      <w:ind w:left="1440"/>
    </w:pPr>
  </w:style>
  <w:style w:type="paragraph" w:styleId="TOC8">
    <w:name w:val="toc 8"/>
    <w:basedOn w:val="Normal"/>
    <w:next w:val="Normal"/>
    <w:autoRedefine/>
    <w:semiHidden/>
    <w:rsid w:val="000F2731"/>
    <w:pPr>
      <w:tabs>
        <w:tab w:val="clear" w:pos="1066"/>
      </w:tabs>
      <w:ind w:left="1680"/>
    </w:pPr>
  </w:style>
  <w:style w:type="paragraph" w:styleId="TOC9">
    <w:name w:val="toc 9"/>
    <w:basedOn w:val="Normal"/>
    <w:next w:val="Normal"/>
    <w:autoRedefine/>
    <w:semiHidden/>
    <w:rsid w:val="000F2731"/>
    <w:pPr>
      <w:tabs>
        <w:tab w:val="clear" w:pos="1066"/>
      </w:tabs>
      <w:ind w:left="1920"/>
    </w:pPr>
  </w:style>
  <w:style w:type="table" w:styleId="TableGrid">
    <w:name w:val="Table Grid"/>
    <w:basedOn w:val="TableNormal"/>
    <w:rsid w:val="00CE4300"/>
    <w:pPr>
      <w:tabs>
        <w:tab w:val="left" w:pos="106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bold">
    <w:name w:val="Body bold"/>
    <w:uiPriority w:val="99"/>
    <w:rsid w:val="00D90171"/>
    <w:rPr>
      <w:rFonts w:ascii="Arial" w:hAnsi="Arial" w:cs="PF Centro Sans Pro"/>
      <w:b/>
      <w:bCs/>
      <w:color w:val="000000"/>
      <w:sz w:val="24"/>
      <w:u w:val="none"/>
      <w:vertAlign w:val="baseline"/>
    </w:rPr>
  </w:style>
  <w:style w:type="paragraph" w:styleId="ListParagraph">
    <w:name w:val="List Paragraph"/>
    <w:basedOn w:val="Normal"/>
    <w:uiPriority w:val="34"/>
    <w:rsid w:val="00901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57"/>
    <w:pPr>
      <w:tabs>
        <w:tab w:val="clear" w:pos="106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5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757"/>
    <w:pPr>
      <w:tabs>
        <w:tab w:val="clear" w:pos="106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5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5023</Words>
  <Characters>28955</Characters>
  <Application>Microsoft Office Word</Application>
  <DocSecurity>0</DocSecurity>
  <Lines>241</Lines>
  <Paragraphs>67</Paragraphs>
  <ScaleCrop>false</ScaleCrop>
  <Company/>
  <LinksUpToDate>false</LinksUpToDate>
  <CharactersWithSpaces>33911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2A: Boston Consulting Group international analysis</dc:title>
  <dc:subject/>
  <dc:creator/>
  <cp:keywords/>
  <dc:description/>
  <cp:lastModifiedBy/>
  <cp:revision>1</cp:revision>
  <dcterms:created xsi:type="dcterms:W3CDTF">2023-01-30T02:32:00Z</dcterms:created>
  <dcterms:modified xsi:type="dcterms:W3CDTF">2023-01-30T02:33:00Z</dcterms:modified>
</cp:coreProperties>
</file>